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EA590">
      <w:pPr>
        <w:pStyle w:val="9"/>
        <w:spacing w:line="240" w:lineRule="auto"/>
        <w:ind w:firstLine="420"/>
        <w:rPr>
          <w:rFonts w:ascii="宋体"/>
          <w:bCs/>
          <w:kern w:val="0"/>
          <w:szCs w:val="21"/>
        </w:rPr>
      </w:pPr>
      <w:bookmarkStart w:id="0" w:name="_Hlk118557736"/>
      <w:bookmarkEnd w:id="0"/>
    </w:p>
    <w:p w14:paraId="0A43F984">
      <w:pPr>
        <w:pStyle w:val="9"/>
        <w:spacing w:line="240" w:lineRule="auto"/>
        <w:ind w:firstLine="420"/>
        <w:rPr>
          <w:rFonts w:ascii="宋体"/>
          <w:bCs/>
          <w:kern w:val="0"/>
          <w:szCs w:val="21"/>
        </w:rPr>
      </w:pPr>
      <w:r>
        <w:rPr>
          <w:rFonts w:hint="eastAsia" w:ascii="宋体"/>
          <w:bCs/>
          <w:kern w:val="0"/>
          <w:szCs w:val="21"/>
        </w:rPr>
        <w:t>论文应</w:t>
      </w:r>
      <w:r>
        <w:rPr>
          <w:rFonts w:hint="eastAsia"/>
        </w:rPr>
        <w:t>符合本刊宗旨及报道范围；无政治方向和舆论导向问题；无违背党和国家方针、政策的言论和观点；无涉及保密问题、敏感话题的言论。</w:t>
      </w:r>
    </w:p>
    <w:p w14:paraId="14AA69B7">
      <w:pPr>
        <w:ind w:firstLine="420"/>
      </w:pPr>
      <w:r>
        <w:rPr>
          <w:rFonts w:hint="eastAsia" w:ascii="宋体"/>
          <w:bCs/>
          <w:kern w:val="0"/>
          <w:szCs w:val="21"/>
        </w:rPr>
        <w:t>论文应有创新性，科学性，</w:t>
      </w:r>
      <w:r>
        <w:t>要</w:t>
      </w:r>
      <w:r>
        <w:rPr>
          <w:rFonts w:hint="eastAsia" w:ascii="宋体"/>
          <w:bCs/>
          <w:kern w:val="0"/>
          <w:szCs w:val="21"/>
        </w:rPr>
        <w:t>主题明确，</w:t>
      </w:r>
      <w:r>
        <w:t>层次分明</w:t>
      </w:r>
      <w:r>
        <w:rPr>
          <w:rFonts w:hint="eastAsia"/>
        </w:rPr>
        <w:t>，</w:t>
      </w:r>
      <w:r>
        <w:t>严谨简明，</w:t>
      </w:r>
      <w:r>
        <w:rPr>
          <w:rFonts w:hint="eastAsia" w:ascii="宋体"/>
          <w:bCs/>
          <w:kern w:val="0"/>
          <w:szCs w:val="21"/>
        </w:rPr>
        <w:t>词语准确，语句精练，</w:t>
      </w:r>
      <w:bookmarkStart w:id="1" w:name="_Hlk99548203"/>
      <w:r>
        <w:t>避免使用文学性质或带感情色彩的非学术性语言</w:t>
      </w:r>
      <w:bookmarkEnd w:id="1"/>
      <w:r>
        <w:t>。</w:t>
      </w:r>
    </w:p>
    <w:p w14:paraId="3DDAF194">
      <w:pPr>
        <w:pStyle w:val="9"/>
        <w:spacing w:line="240" w:lineRule="auto"/>
        <w:ind w:firstLine="420"/>
        <w:rPr>
          <w:rFonts w:ascii="宋体"/>
          <w:bCs/>
          <w:kern w:val="0"/>
          <w:szCs w:val="21"/>
        </w:rPr>
      </w:pPr>
      <w:r>
        <w:rPr>
          <w:rFonts w:hint="eastAsia" w:ascii="宋体"/>
          <w:bCs/>
          <w:kern w:val="0"/>
          <w:szCs w:val="21"/>
        </w:rPr>
        <w:t>论文应遵从国家法定计量单位、数字用法、标点符号及其他标准。</w:t>
      </w:r>
    </w:p>
    <w:p w14:paraId="2653303C">
      <w:pPr>
        <w:pStyle w:val="9"/>
        <w:spacing w:line="240" w:lineRule="auto"/>
        <w:ind w:firstLine="420"/>
      </w:pPr>
      <w:r>
        <w:rPr>
          <w:rFonts w:hint="eastAsia" w:ascii="宋体"/>
          <w:bCs/>
          <w:kern w:val="0"/>
          <w:szCs w:val="21"/>
        </w:rPr>
        <w:t>论文为</w:t>
      </w:r>
      <w:r>
        <w:rPr>
          <w:rFonts w:hint="eastAsia" w:ascii="宋体"/>
          <w:b/>
          <w:color w:val="FF0000"/>
          <w:kern w:val="0"/>
          <w:szCs w:val="21"/>
        </w:rPr>
        <w:t>单栏排版，6</w:t>
      </w:r>
      <w:r>
        <w:rPr>
          <w:rFonts w:ascii="宋体"/>
          <w:b/>
          <w:color w:val="FF0000"/>
          <w:kern w:val="0"/>
          <w:szCs w:val="21"/>
        </w:rPr>
        <w:t>-8</w:t>
      </w:r>
      <w:r>
        <w:rPr>
          <w:rFonts w:hint="eastAsia" w:ascii="宋体"/>
          <w:b/>
          <w:color w:val="FF0000"/>
          <w:kern w:val="0"/>
          <w:szCs w:val="21"/>
        </w:rPr>
        <w:t>页以内</w:t>
      </w:r>
      <w:r>
        <w:rPr>
          <w:rFonts w:hint="eastAsia" w:ascii="宋体"/>
          <w:b/>
          <w:kern w:val="0"/>
          <w:szCs w:val="21"/>
        </w:rPr>
        <w:t>，</w:t>
      </w:r>
      <w:r>
        <w:rPr>
          <w:rFonts w:hint="eastAsia" w:ascii="宋体"/>
          <w:bCs/>
          <w:kern w:val="0"/>
          <w:szCs w:val="21"/>
        </w:rPr>
        <w:t>格式要求如下。</w:t>
      </w:r>
    </w:p>
    <w:p w14:paraId="4D67555B">
      <w:pPr>
        <w:pStyle w:val="9"/>
        <w:spacing w:line="240" w:lineRule="auto"/>
        <w:ind w:firstLine="420"/>
        <w:rPr>
          <w:rFonts w:ascii="宋体"/>
          <w:bCs/>
          <w:kern w:val="0"/>
          <w:szCs w:val="21"/>
        </w:rPr>
      </w:pPr>
    </w:p>
    <w:p w14:paraId="6BF24F1E">
      <w:pPr>
        <w:snapToGrid w:val="0"/>
        <w:ind w:firstLine="0" w:firstLineChars="0"/>
        <w:jc w:val="center"/>
        <w:rPr>
          <w:rFonts w:eastAsia="黑体"/>
          <w:b/>
          <w:sz w:val="44"/>
          <w:szCs w:val="32"/>
        </w:rPr>
      </w:pPr>
      <w:r>
        <w:rPr>
          <w:rFonts w:hint="eastAsia" w:eastAsia="黑体"/>
          <w:b/>
          <w:sz w:val="44"/>
          <w:szCs w:val="32"/>
        </w:rPr>
        <w:t>中文标题</w:t>
      </w:r>
    </w:p>
    <w:p w14:paraId="3949BD4A">
      <w:pPr>
        <w:widowControl/>
        <w:spacing w:line="240" w:lineRule="atLeast"/>
        <w:ind w:firstLine="420"/>
        <w:jc w:val="center"/>
        <w:rPr>
          <w:rFonts w:cs="Times New Roman"/>
          <w:bCs/>
          <w:color w:val="FF0000"/>
          <w:kern w:val="0"/>
          <w:szCs w:val="21"/>
        </w:rPr>
      </w:pPr>
      <w:r>
        <w:rPr>
          <w:rFonts w:cs="Times New Roman"/>
          <w:bCs/>
          <w:color w:val="FF0000"/>
          <w:kern w:val="0"/>
          <w:szCs w:val="21"/>
        </w:rPr>
        <w:t>（</w:t>
      </w:r>
      <w:r>
        <w:rPr>
          <w:rFonts w:hint="eastAsia" w:cs="Times New Roman"/>
          <w:bCs/>
          <w:color w:val="FF0000"/>
          <w:kern w:val="0"/>
          <w:szCs w:val="21"/>
        </w:rPr>
        <w:t>二号黑体，居中，</w:t>
      </w:r>
      <w:r>
        <w:rPr>
          <w:rFonts w:cs="Times New Roman"/>
          <w:bCs/>
          <w:color w:val="FF0000"/>
          <w:kern w:val="0"/>
          <w:szCs w:val="21"/>
        </w:rPr>
        <w:t>名词性短语，少于20字，尽量不使用外文缩写词）</w:t>
      </w:r>
    </w:p>
    <w:p w14:paraId="610128BC">
      <w:pPr>
        <w:widowControl/>
        <w:spacing w:line="240" w:lineRule="atLeast"/>
        <w:ind w:firstLine="560"/>
        <w:jc w:val="center"/>
        <w:rPr>
          <w:rFonts w:ascii="楷体" w:hAnsi="楷体" w:eastAsia="楷体" w:cs="Times New Roman"/>
          <w:kern w:val="0"/>
          <w:sz w:val="28"/>
          <w:szCs w:val="28"/>
          <w:vertAlign w:val="superscript"/>
        </w:rPr>
      </w:pPr>
      <w:r>
        <w:rPr>
          <w:rFonts w:hint="eastAsia" w:ascii="楷体" w:hAnsi="楷体" w:eastAsia="楷体" w:cs="Times New Roman"/>
          <w:kern w:val="0"/>
          <w:sz w:val="28"/>
          <w:szCs w:val="28"/>
        </w:rPr>
        <w:t>一二三</w:t>
      </w:r>
      <w:r>
        <w:rPr>
          <w:rFonts w:ascii="楷体" w:hAnsi="楷体" w:eastAsia="楷体" w:cs="Times New Roman"/>
          <w:sz w:val="28"/>
          <w:szCs w:val="28"/>
          <w:vertAlign w:val="superscript"/>
        </w:rPr>
        <w:t>1</w:t>
      </w:r>
      <w:r>
        <w:rPr>
          <w:rFonts w:ascii="楷体" w:hAnsi="楷体" w:eastAsia="楷体" w:cs="Times New Roman"/>
          <w:sz w:val="28"/>
          <w:szCs w:val="28"/>
        </w:rPr>
        <w:t>，</w:t>
      </w:r>
      <w:r>
        <w:rPr>
          <w:rFonts w:hint="eastAsia" w:ascii="楷体" w:hAnsi="楷体" w:eastAsia="楷体" w:cs="Times New Roman"/>
          <w:kern w:val="0"/>
          <w:sz w:val="28"/>
          <w:szCs w:val="28"/>
        </w:rPr>
        <w:t>四五</w:t>
      </w:r>
      <w:r>
        <w:rPr>
          <w:rFonts w:ascii="楷体" w:hAnsi="楷体" w:eastAsia="楷体" w:cs="Times New Roman"/>
          <w:kern w:val="0"/>
          <w:sz w:val="28"/>
          <w:szCs w:val="28"/>
          <w:vertAlign w:val="superscript"/>
        </w:rPr>
        <w:t>1,2</w:t>
      </w:r>
      <w:r>
        <w:rPr>
          <w:rFonts w:ascii="楷体" w:hAnsi="楷体" w:eastAsia="楷体" w:cs="Times New Roman"/>
          <w:sz w:val="28"/>
          <w:szCs w:val="28"/>
        </w:rPr>
        <w:t>，</w:t>
      </w:r>
      <w:r>
        <w:rPr>
          <w:rFonts w:ascii="楷体" w:hAnsi="楷体" w:eastAsia="楷体" w:cs="Times New Roman"/>
          <w:kern w:val="0"/>
          <w:sz w:val="28"/>
          <w:szCs w:val="28"/>
        </w:rPr>
        <w:t>作者三</w:t>
      </w:r>
      <w:r>
        <w:rPr>
          <w:rFonts w:ascii="楷体" w:hAnsi="楷体" w:eastAsia="楷体" w:cs="Times New Roman"/>
          <w:kern w:val="0"/>
          <w:sz w:val="28"/>
          <w:szCs w:val="28"/>
          <w:vertAlign w:val="superscript"/>
        </w:rPr>
        <w:t>2</w:t>
      </w:r>
      <w:r>
        <w:rPr>
          <w:rFonts w:ascii="楷体" w:hAnsi="楷体" w:eastAsia="楷体" w:cs="Times New Roman"/>
          <w:sz w:val="28"/>
          <w:szCs w:val="28"/>
        </w:rPr>
        <w:t>，</w:t>
      </w:r>
      <w:r>
        <w:rPr>
          <w:rFonts w:ascii="楷体" w:hAnsi="楷体" w:eastAsia="楷体" w:cs="Times New Roman"/>
          <w:kern w:val="0"/>
          <w:sz w:val="28"/>
          <w:szCs w:val="28"/>
        </w:rPr>
        <w:t>作者四</w:t>
      </w:r>
      <w:r>
        <w:rPr>
          <w:rFonts w:ascii="楷体" w:hAnsi="楷体" w:eastAsia="楷体" w:cs="Times New Roman"/>
          <w:kern w:val="0"/>
          <w:sz w:val="28"/>
          <w:szCs w:val="28"/>
          <w:vertAlign w:val="superscript"/>
        </w:rPr>
        <w:t>2</w:t>
      </w:r>
    </w:p>
    <w:p w14:paraId="3DBAD477">
      <w:pPr>
        <w:widowControl/>
        <w:spacing w:line="240" w:lineRule="atLeast"/>
        <w:ind w:firstLine="420"/>
        <w:jc w:val="center"/>
        <w:rPr>
          <w:rFonts w:cs="Times New Roman"/>
          <w:color w:val="FF0000"/>
          <w:kern w:val="0"/>
          <w:szCs w:val="21"/>
        </w:rPr>
      </w:pPr>
      <w:r>
        <w:rPr>
          <w:rFonts w:cs="Times New Roman"/>
          <w:color w:val="FF0000"/>
          <w:kern w:val="0"/>
          <w:szCs w:val="21"/>
        </w:rPr>
        <w:t>（</w:t>
      </w:r>
      <w:r>
        <w:rPr>
          <w:rFonts w:hint="eastAsia" w:cs="Times New Roman"/>
          <w:color w:val="FF0000"/>
          <w:kern w:val="0"/>
          <w:szCs w:val="21"/>
        </w:rPr>
        <w:t>四号楷体，居中，按署名顺序排列，各作者之间以“，”分隔</w:t>
      </w:r>
    </w:p>
    <w:p w14:paraId="1602C38E">
      <w:pPr>
        <w:widowControl/>
        <w:spacing w:line="240" w:lineRule="atLeast"/>
        <w:ind w:firstLine="420"/>
        <w:jc w:val="center"/>
        <w:rPr>
          <w:rFonts w:cs="Times New Roman"/>
          <w:color w:val="FF0000"/>
          <w:kern w:val="0"/>
          <w:szCs w:val="21"/>
        </w:rPr>
      </w:pPr>
      <w:r>
        <w:rPr>
          <w:rFonts w:cs="Times New Roman"/>
          <w:color w:val="FF0000"/>
          <w:kern w:val="0"/>
          <w:szCs w:val="21"/>
        </w:rPr>
        <w:t>姓前名后，2个字姓名中间加空格）</w:t>
      </w:r>
    </w:p>
    <w:p w14:paraId="1BBBCB4B">
      <w:pPr>
        <w:spacing w:line="220" w:lineRule="atLeast"/>
        <w:ind w:firstLine="420"/>
        <w:jc w:val="center"/>
        <w:rPr>
          <w:rFonts w:asciiTheme="minorEastAsia" w:hAnsiTheme="minorEastAsia" w:eastAsiaTheme="minorEastAsia"/>
          <w:szCs w:val="21"/>
        </w:rPr>
      </w:pPr>
      <w:r>
        <w:rPr>
          <w:rFonts w:cs="Times New Roman" w:asciiTheme="minorEastAsia" w:hAnsiTheme="minorEastAsia" w:eastAsiaTheme="minorEastAsia"/>
          <w:kern w:val="0"/>
          <w:szCs w:val="21"/>
        </w:rPr>
        <w:t>（</w:t>
      </w:r>
      <w:r>
        <w:rPr>
          <w:rFonts w:asciiTheme="minorEastAsia" w:hAnsiTheme="minorEastAsia" w:eastAsiaTheme="minorEastAsia"/>
          <w:szCs w:val="21"/>
        </w:rPr>
        <w:t>1. 青海大学农牧学院，青海 西宁 810016；</w:t>
      </w:r>
    </w:p>
    <w:p w14:paraId="35B8573F">
      <w:pPr>
        <w:spacing w:line="220" w:lineRule="atLeast"/>
        <w:ind w:firstLine="420"/>
        <w:jc w:val="center"/>
        <w:rPr>
          <w:rFonts w:asciiTheme="minorEastAsia" w:hAnsiTheme="minorEastAsia" w:eastAsiaTheme="minorEastAsia"/>
          <w:szCs w:val="21"/>
          <w:vertAlign w:val="superscript"/>
        </w:rPr>
      </w:pPr>
      <w:r>
        <w:rPr>
          <w:rFonts w:hint="eastAsia" w:cs="楷体" w:asciiTheme="minorEastAsia" w:hAnsiTheme="minorEastAsia" w:eastAsiaTheme="minorEastAsia"/>
          <w:szCs w:val="21"/>
        </w:rPr>
        <w:t>2.青海大学农林科学院，青海 西宁 810016</w:t>
      </w:r>
      <w:r>
        <w:rPr>
          <w:rFonts w:asciiTheme="minorEastAsia" w:hAnsiTheme="minorEastAsia" w:eastAsiaTheme="minorEastAsia"/>
          <w:szCs w:val="21"/>
        </w:rPr>
        <w:t xml:space="preserve"> ）</w:t>
      </w:r>
    </w:p>
    <w:p w14:paraId="6B69D26D">
      <w:pPr>
        <w:widowControl/>
        <w:spacing w:line="240" w:lineRule="atLeast"/>
        <w:ind w:firstLine="420"/>
        <w:rPr>
          <w:rFonts w:cs="Times New Roman" w:asciiTheme="minorEastAsia" w:hAnsiTheme="minorEastAsia" w:eastAsiaTheme="minorEastAsia"/>
          <w:color w:val="FF0000"/>
          <w:kern w:val="0"/>
          <w:szCs w:val="21"/>
        </w:rPr>
      </w:pPr>
      <w:r>
        <w:rPr>
          <w:rFonts w:cs="Times New Roman" w:asciiTheme="minorEastAsia" w:hAnsiTheme="minorEastAsia" w:eastAsiaTheme="minorEastAsia"/>
          <w:color w:val="FF0000"/>
          <w:kern w:val="0"/>
          <w:szCs w:val="21"/>
        </w:rPr>
        <w:t>（</w:t>
      </w:r>
      <w:r>
        <w:rPr>
          <w:rFonts w:hint="eastAsia" w:cs="Times New Roman" w:asciiTheme="minorEastAsia" w:hAnsiTheme="minorEastAsia" w:eastAsiaTheme="minorEastAsia"/>
          <w:color w:val="FF0000"/>
          <w:kern w:val="0"/>
          <w:szCs w:val="21"/>
        </w:rPr>
        <w:t>6号宋体，居中，</w:t>
      </w:r>
      <w:r>
        <w:rPr>
          <w:rFonts w:cs="Times New Roman" w:asciiTheme="minorEastAsia" w:hAnsiTheme="minorEastAsia" w:eastAsiaTheme="minorEastAsia"/>
          <w:color w:val="FF0000"/>
          <w:kern w:val="0"/>
          <w:szCs w:val="21"/>
        </w:rPr>
        <w:t>署名和单位顺序投稿后不能修改，单位具体到二级部门，给出准确的官方名称。如果只有1个单位，则作者姓名右上角不标“1”，单位前也不加序号“1.”）</w:t>
      </w:r>
    </w:p>
    <w:p w14:paraId="3B4B5E6C">
      <w:pPr>
        <w:spacing w:line="280" w:lineRule="exact"/>
        <w:ind w:firstLine="0" w:firstLineChars="0"/>
        <w:rPr>
          <w:rFonts w:eastAsia="方正书宋简体"/>
          <w:b/>
          <w:sz w:val="18"/>
          <w:szCs w:val="18"/>
        </w:rPr>
      </w:pPr>
    </w:p>
    <w:p w14:paraId="119BF33D">
      <w:pPr>
        <w:spacing w:line="280" w:lineRule="exact"/>
        <w:ind w:firstLine="0" w:firstLineChars="0"/>
        <w:rPr>
          <w:rFonts w:eastAsia="方正书宋简体"/>
          <w:b/>
          <w:sz w:val="18"/>
          <w:szCs w:val="18"/>
        </w:rPr>
      </w:pPr>
      <w:r>
        <w:rPr>
          <w:rFonts w:hint="eastAsia" w:eastAsia="方正书宋简体"/>
          <w:b/>
          <w:sz w:val="18"/>
          <w:szCs w:val="18"/>
        </w:rPr>
        <w:t>摘要（小5宋加粗）</w:t>
      </w:r>
      <w:r>
        <w:rPr>
          <w:rFonts w:hint="eastAsia" w:eastAsia="方正书宋简体"/>
          <w:b/>
          <w:color w:val="FF0000"/>
          <w:sz w:val="18"/>
          <w:szCs w:val="18"/>
        </w:rPr>
        <w:t>：</w:t>
      </w:r>
      <w:r>
        <w:rPr>
          <w:rFonts w:hint="eastAsia"/>
          <w:color w:val="FF0000"/>
          <w:sz w:val="18"/>
          <w:szCs w:val="18"/>
        </w:rPr>
        <w:t>控制在200～300字</w:t>
      </w:r>
      <w:bookmarkStart w:id="2" w:name="_Hlk99649997"/>
      <w:r>
        <w:rPr>
          <w:rFonts w:hint="eastAsia"/>
          <w:color w:val="FF0000"/>
          <w:sz w:val="18"/>
          <w:szCs w:val="18"/>
        </w:rPr>
        <w:t>。中文摘要应包括4个层次：研究目的、研究方法、研究结果和研究结论，要独立成篇，不分段，意义完整，能使人不阅读论文全文便获得论文主要内容；不可加进原文内容以外的解释或评论，不应与论文的引言和结论雷同；</w:t>
      </w:r>
      <w:r>
        <w:rPr>
          <w:color w:val="FF0000"/>
          <w:sz w:val="18"/>
          <w:szCs w:val="18"/>
        </w:rPr>
        <w:t>不宜有大量关于研究背景的描述，应避免出现主观性极强的描述；不能</w:t>
      </w:r>
      <w:r>
        <w:rPr>
          <w:rFonts w:hint="eastAsia"/>
          <w:color w:val="FF0000"/>
          <w:sz w:val="18"/>
          <w:szCs w:val="18"/>
        </w:rPr>
        <w:t>引用参考文献</w:t>
      </w:r>
      <w:r>
        <w:rPr>
          <w:color w:val="FF0000"/>
          <w:sz w:val="18"/>
          <w:szCs w:val="18"/>
        </w:rPr>
        <w:t>；</w:t>
      </w:r>
      <w:r>
        <w:rPr>
          <w:rFonts w:hint="eastAsia"/>
          <w:color w:val="FF0000"/>
          <w:sz w:val="18"/>
          <w:szCs w:val="18"/>
        </w:rPr>
        <w:t>使用科学性文字和具体数据，不使用文学性修饰词。</w:t>
      </w:r>
      <w:bookmarkEnd w:id="2"/>
      <w:r>
        <w:rPr>
          <w:rFonts w:hint="eastAsia" w:eastAsia="方正书宋简体"/>
          <w:b/>
          <w:sz w:val="18"/>
          <w:szCs w:val="18"/>
        </w:rPr>
        <w:t>（小5楷体, 行距14磅）</w:t>
      </w:r>
    </w:p>
    <w:p w14:paraId="61299A79">
      <w:pPr>
        <w:spacing w:line="280" w:lineRule="exact"/>
        <w:ind w:firstLine="361"/>
        <w:rPr>
          <w:rFonts w:eastAsia="方正书宋简体"/>
          <w:b/>
          <w:bCs/>
          <w:color w:val="FF0000"/>
          <w:sz w:val="18"/>
          <w:szCs w:val="18"/>
        </w:rPr>
      </w:pPr>
      <w:r>
        <w:rPr>
          <w:rFonts w:hint="eastAsia" w:eastAsia="方正书宋简体"/>
          <w:b/>
          <w:bCs/>
          <w:color w:val="FF0000"/>
          <w:sz w:val="18"/>
          <w:szCs w:val="18"/>
        </w:rPr>
        <w:t>参考格式：</w:t>
      </w:r>
    </w:p>
    <w:p w14:paraId="43B6FA7C">
      <w:pPr>
        <w:widowControl/>
        <w:spacing w:line="280" w:lineRule="exact"/>
        <w:ind w:firstLine="361"/>
        <w:jc w:val="left"/>
        <w:rPr>
          <w:rFonts w:cs="Times New Roman"/>
          <w:color w:val="FF0000"/>
          <w:kern w:val="0"/>
          <w:szCs w:val="21"/>
        </w:rPr>
      </w:pPr>
      <w:r>
        <w:rPr>
          <w:b/>
          <w:bCs/>
          <w:sz w:val="18"/>
          <w:szCs w:val="18"/>
        </w:rPr>
        <w:t>摘要：</w:t>
      </w:r>
      <w:r>
        <w:rPr>
          <w:rFonts w:eastAsia="楷体"/>
          <w:sz w:val="18"/>
          <w:szCs w:val="18"/>
        </w:rPr>
        <w:t>【</w:t>
      </w:r>
      <w:r>
        <w:rPr>
          <w:rFonts w:eastAsia="楷体"/>
          <w:b/>
          <w:sz w:val="18"/>
          <w:szCs w:val="18"/>
        </w:rPr>
        <w:t>目的</w:t>
      </w:r>
      <w:r>
        <w:rPr>
          <w:rFonts w:eastAsia="楷体"/>
          <w:sz w:val="18"/>
          <w:szCs w:val="18"/>
        </w:rPr>
        <w:t>】为筛选适宜青海地区樱桃嫁接砧木及接穗品种，【</w:t>
      </w:r>
      <w:r>
        <w:rPr>
          <w:rFonts w:eastAsia="楷体"/>
          <w:b/>
          <w:sz w:val="18"/>
          <w:szCs w:val="18"/>
        </w:rPr>
        <w:t>方法</w:t>
      </w:r>
      <w:r>
        <w:rPr>
          <w:rFonts w:eastAsia="楷体"/>
          <w:sz w:val="18"/>
          <w:szCs w:val="18"/>
        </w:rPr>
        <w:t>】本研究以吉塞拉6号为砧木，</w:t>
      </w:r>
      <w:r>
        <w:rPr>
          <w:rFonts w:hint="eastAsia" w:eastAsia="楷体"/>
          <w:sz w:val="18"/>
          <w:szCs w:val="18"/>
        </w:rPr>
        <w:t>32</w:t>
      </w:r>
      <w:r>
        <w:rPr>
          <w:rFonts w:eastAsia="楷体"/>
          <w:sz w:val="18"/>
          <w:szCs w:val="18"/>
        </w:rPr>
        <w:t>个樱桃资源品种为接穗，研究不同品种对樱桃幼苗生长和生理的影响。对苗木定植后成活率进行调查，并结合砧穗组合的形态指标和生理指标，利用主成分分析法进行综合评价。【</w:t>
      </w:r>
      <w:r>
        <w:rPr>
          <w:rFonts w:eastAsia="楷体"/>
          <w:b/>
          <w:sz w:val="18"/>
          <w:szCs w:val="18"/>
        </w:rPr>
        <w:t>结果</w:t>
      </w:r>
      <w:r>
        <w:rPr>
          <w:rFonts w:eastAsia="楷体"/>
          <w:sz w:val="18"/>
          <w:szCs w:val="18"/>
        </w:rPr>
        <w:t>】结果表明：Lambert的成活率较高，Krsten,Attika次之，而Emperor Francis嫁接成活率较低；Bing株高生长最快，Olympus和Schnider次之，Hedelifingen生长较慢；</w:t>
      </w:r>
      <w:r>
        <w:rPr>
          <w:rFonts w:hint="eastAsia" w:eastAsia="楷体"/>
          <w:sz w:val="18"/>
          <w:szCs w:val="18"/>
        </w:rPr>
        <w:t>S</w:t>
      </w:r>
      <w:r>
        <w:rPr>
          <w:rFonts w:eastAsia="楷体"/>
          <w:sz w:val="18"/>
          <w:szCs w:val="18"/>
        </w:rPr>
        <w:t>OD酶活性较大的是Sunburst，Celeste、Summit和Lambert次之，而酶活性较小的为Cashmere、Corum和Hedelifigen；PAL酶活性较大的是</w:t>
      </w:r>
      <w:r>
        <w:rPr>
          <w:rFonts w:hint="eastAsia" w:eastAsia="楷体"/>
          <w:sz w:val="18"/>
          <w:szCs w:val="18"/>
        </w:rPr>
        <w:t>Lambert</w:t>
      </w:r>
      <w:r>
        <w:rPr>
          <w:rFonts w:eastAsia="楷体"/>
          <w:sz w:val="18"/>
          <w:szCs w:val="18"/>
        </w:rPr>
        <w:t>，Sweetheart、Early Robin和Cashmere次之,酶活性较小的为Windsor、Summit和Corum。【</w:t>
      </w:r>
      <w:r>
        <w:rPr>
          <w:rFonts w:eastAsia="楷体"/>
          <w:b/>
          <w:sz w:val="18"/>
          <w:szCs w:val="18"/>
        </w:rPr>
        <w:t>结论</w:t>
      </w:r>
      <w:r>
        <w:rPr>
          <w:rFonts w:eastAsia="楷体"/>
          <w:sz w:val="18"/>
          <w:szCs w:val="18"/>
        </w:rPr>
        <w:t>】据相关性分析对成活率、株高、接穗直径、穗砧直径比、PAL和SOD等</w:t>
      </w:r>
      <w:r>
        <w:rPr>
          <w:rFonts w:hint="eastAsia" w:eastAsia="楷体"/>
          <w:sz w:val="18"/>
          <w:szCs w:val="18"/>
        </w:rPr>
        <w:t>8</w:t>
      </w:r>
      <w:r>
        <w:rPr>
          <w:rFonts w:eastAsia="楷体"/>
          <w:sz w:val="18"/>
          <w:szCs w:val="18"/>
        </w:rPr>
        <w:t>个指标进行综合筛选，</w:t>
      </w:r>
      <w:r>
        <w:rPr>
          <w:rFonts w:hint="eastAsia" w:eastAsia="楷体"/>
          <w:sz w:val="18"/>
          <w:szCs w:val="18"/>
        </w:rPr>
        <w:t>32</w:t>
      </w:r>
      <w:r>
        <w:rPr>
          <w:rFonts w:eastAsia="楷体"/>
          <w:sz w:val="18"/>
          <w:szCs w:val="18"/>
        </w:rPr>
        <w:t>个砧穗组合生长较好的是Lambert、Schnider和Bing，生长较差的是Emperor Francis、Skeena和Windsor。</w:t>
      </w:r>
    </w:p>
    <w:p w14:paraId="10C33116">
      <w:pPr>
        <w:spacing w:line="280" w:lineRule="exact"/>
        <w:ind w:firstLine="361"/>
        <w:rPr>
          <w:b/>
          <w:bCs/>
          <w:sz w:val="18"/>
          <w:szCs w:val="18"/>
        </w:rPr>
      </w:pPr>
      <w:r>
        <w:rPr>
          <w:rFonts w:hint="eastAsia" w:eastAsia="方正书宋简体"/>
          <w:b/>
          <w:sz w:val="18"/>
          <w:szCs w:val="18"/>
        </w:rPr>
        <w:t>关键词（小5宋加粗）：</w:t>
      </w:r>
      <w:r>
        <w:rPr>
          <w:rFonts w:hint="eastAsia"/>
          <w:color w:val="FF0000"/>
          <w:sz w:val="18"/>
          <w:szCs w:val="18"/>
        </w:rPr>
        <w:t>应有</w:t>
      </w:r>
      <w:r>
        <w:rPr>
          <w:color w:val="FF0000"/>
          <w:sz w:val="18"/>
          <w:szCs w:val="18"/>
        </w:rPr>
        <w:t>4</w:t>
      </w:r>
      <w:r>
        <w:rPr>
          <w:rFonts w:hint="eastAsia"/>
          <w:color w:val="FF0000"/>
          <w:sz w:val="18"/>
          <w:szCs w:val="18"/>
        </w:rPr>
        <w:t>~8个关键词。</w:t>
      </w:r>
      <w:r>
        <w:rPr>
          <w:color w:val="FF0000"/>
          <w:sz w:val="18"/>
          <w:szCs w:val="18"/>
        </w:rPr>
        <w:t>关键词是名词，不使用缩写词，</w:t>
      </w:r>
      <w:r>
        <w:rPr>
          <w:rFonts w:hint="eastAsia"/>
          <w:color w:val="FF0000"/>
          <w:sz w:val="18"/>
          <w:szCs w:val="18"/>
        </w:rPr>
        <w:t>第一个关键词与分类号对应。不同关键词之间用“；”分隔。</w:t>
      </w:r>
      <w:r>
        <w:rPr>
          <w:rFonts w:hint="eastAsia"/>
          <w:b/>
          <w:bCs/>
          <w:sz w:val="18"/>
          <w:szCs w:val="18"/>
        </w:rPr>
        <w:t>（小5楷体）</w:t>
      </w:r>
    </w:p>
    <w:p w14:paraId="5C2A601F">
      <w:pPr>
        <w:spacing w:line="280" w:lineRule="exact"/>
        <w:ind w:firstLine="0" w:firstLineChars="0"/>
        <w:rPr>
          <w:rFonts w:eastAsia="方正书宋简体"/>
          <w:sz w:val="18"/>
          <w:szCs w:val="18"/>
        </w:rPr>
      </w:pPr>
      <w:r>
        <w:rPr>
          <w:rFonts w:hint="eastAsia" w:eastAsia="方正书宋简体"/>
          <w:b/>
          <w:bCs/>
          <w:szCs w:val="21"/>
        </w:rPr>
        <w:t>中</w:t>
      </w:r>
      <w:r>
        <w:rPr>
          <w:rFonts w:hint="eastAsia"/>
          <w:b/>
          <w:szCs w:val="21"/>
        </w:rPr>
        <w:t>图分类号：</w:t>
      </w:r>
      <w:r>
        <w:rPr>
          <w:rFonts w:hint="eastAsia"/>
          <w:bCs/>
          <w:color w:val="FF0000"/>
          <w:sz w:val="18"/>
        </w:rPr>
        <w:t>按《中国图书馆分类法》查询，</w:t>
      </w:r>
      <w:r>
        <w:rPr>
          <w:bCs/>
          <w:color w:val="FF0000"/>
          <w:sz w:val="18"/>
        </w:rPr>
        <w:t>务必写到最小一级</w:t>
      </w:r>
      <w:r>
        <w:rPr>
          <w:rFonts w:hint="eastAsia"/>
          <w:b/>
          <w:sz w:val="18"/>
        </w:rPr>
        <w:t>（Times New Roman）</w:t>
      </w:r>
      <w:r>
        <w:rPr>
          <w:rFonts w:hint="eastAsia" w:eastAsia="方正书宋简体"/>
          <w:b/>
          <w:bCs/>
          <w:sz w:val="18"/>
          <w:szCs w:val="18"/>
        </w:rPr>
        <w:t>文献标志码：</w:t>
      </w:r>
      <w:r>
        <w:rPr>
          <w:rFonts w:hint="eastAsia" w:eastAsia="方正书宋简体"/>
          <w:sz w:val="18"/>
          <w:szCs w:val="18"/>
        </w:rPr>
        <w:t>A</w:t>
      </w:r>
    </w:p>
    <w:p w14:paraId="5B3D4500">
      <w:pPr>
        <w:spacing w:line="240" w:lineRule="exact"/>
        <w:ind w:firstLine="0" w:firstLineChars="0"/>
        <w:rPr>
          <w:rFonts w:eastAsia="方正书宋简体"/>
          <w:b/>
          <w:bCs/>
          <w:sz w:val="18"/>
          <w:szCs w:val="18"/>
        </w:rPr>
      </w:pPr>
      <w:r>
        <w:rPr>
          <w:rFonts w:hint="eastAsia" w:eastAsia="方正书宋简体"/>
          <w:b/>
          <w:bCs/>
          <w:sz w:val="18"/>
          <w:szCs w:val="18"/>
        </w:rPr>
        <w:t>空2行（固定值：12磅）</w:t>
      </w:r>
    </w:p>
    <w:p w14:paraId="00A12B61">
      <w:pPr>
        <w:snapToGrid w:val="0"/>
        <w:ind w:firstLine="0" w:firstLineChars="0"/>
        <w:rPr>
          <w:sz w:val="18"/>
          <w:szCs w:val="18"/>
        </w:rPr>
      </w:pPr>
    </w:p>
    <w:p w14:paraId="37C2A1BE">
      <w:pPr>
        <w:snapToGrid w:val="0"/>
        <w:ind w:firstLine="0" w:firstLineChars="0"/>
        <w:rPr>
          <w:sz w:val="18"/>
          <w:szCs w:val="18"/>
        </w:rPr>
      </w:pPr>
    </w:p>
    <w:p w14:paraId="39D989F3">
      <w:pPr>
        <w:snapToGrid w:val="0"/>
        <w:ind w:firstLine="0" w:firstLineChars="0"/>
        <w:jc w:val="center"/>
        <w:rPr>
          <w:b/>
          <w:sz w:val="28"/>
        </w:rPr>
      </w:pPr>
      <w:r>
        <w:rPr>
          <w:b/>
          <w:sz w:val="28"/>
        </w:rPr>
        <w:t>Tiltle in English</w:t>
      </w:r>
    </w:p>
    <w:p w14:paraId="6693F3BC">
      <w:pPr>
        <w:snapToGrid w:val="0"/>
        <w:ind w:firstLine="0" w:firstLineChars="0"/>
        <w:jc w:val="center"/>
        <w:rPr>
          <w:rFonts w:asciiTheme="minorEastAsia" w:hAnsiTheme="minorEastAsia" w:eastAsiaTheme="minorEastAsia"/>
          <w:b/>
          <w:color w:val="FF0000"/>
          <w:szCs w:val="21"/>
        </w:rPr>
      </w:pPr>
      <w:r>
        <w:rPr>
          <w:rFonts w:hint="eastAsia" w:asciiTheme="minorEastAsia" w:hAnsiTheme="minorEastAsia" w:eastAsiaTheme="minorEastAsia"/>
          <w:color w:val="FF0000"/>
          <w:szCs w:val="21"/>
        </w:rPr>
        <w:t>（</w:t>
      </w:r>
      <w:r>
        <w:rPr>
          <w:rFonts w:hint="eastAsia" w:asciiTheme="minorEastAsia" w:hAnsiTheme="minorEastAsia" w:eastAsiaTheme="minorEastAsia"/>
          <w:bCs/>
          <w:color w:val="FF0000"/>
          <w:szCs w:val="21"/>
        </w:rPr>
        <w:t>四号Times New Roman加粗，</w:t>
      </w:r>
      <w:r>
        <w:rPr>
          <w:rFonts w:hint="eastAsia" w:asciiTheme="minorEastAsia" w:hAnsiTheme="minorEastAsia" w:eastAsiaTheme="minorEastAsia"/>
          <w:color w:val="FF0000"/>
          <w:szCs w:val="21"/>
        </w:rPr>
        <w:t>题名要准确规范，内容与中文标题相应）</w:t>
      </w:r>
    </w:p>
    <w:p w14:paraId="6A0416FA">
      <w:pPr>
        <w:snapToGrid w:val="0"/>
        <w:spacing w:line="240" w:lineRule="exact"/>
        <w:ind w:firstLine="562"/>
        <w:jc w:val="center"/>
        <w:rPr>
          <w:b/>
          <w:sz w:val="28"/>
        </w:rPr>
      </w:pPr>
    </w:p>
    <w:p w14:paraId="6B2FF027">
      <w:pPr>
        <w:ind w:firstLine="420"/>
        <w:jc w:val="center"/>
        <w:rPr>
          <w:rFonts w:cs="Times New Roman"/>
        </w:rPr>
      </w:pPr>
      <w:r>
        <w:rPr>
          <w:szCs w:val="18"/>
        </w:rPr>
        <w:t>A</w:t>
      </w:r>
      <w:r>
        <w:rPr>
          <w:b/>
          <w:bCs/>
          <w:szCs w:val="18"/>
        </w:rPr>
        <w:t>uthor（</w:t>
      </w:r>
      <w:r>
        <w:rPr>
          <w:rFonts w:hint="eastAsia" w:asciiTheme="minorEastAsia" w:hAnsiTheme="minorEastAsia"/>
          <w:b/>
          <w:bCs/>
        </w:rPr>
        <w:t xml:space="preserve">5号加粗 </w:t>
      </w:r>
      <w:r>
        <w:rPr>
          <w:rFonts w:cs="Times New Roman"/>
          <w:b/>
          <w:bCs/>
        </w:rPr>
        <w:t>Times New Roman）</w:t>
      </w:r>
      <w:r>
        <w:rPr>
          <w:rFonts w:hint="eastAsia"/>
          <w:b/>
          <w:bCs/>
          <w:szCs w:val="18"/>
        </w:rPr>
        <w:t>：</w:t>
      </w:r>
      <w:r>
        <w:rPr>
          <w:rFonts w:hint="eastAsia"/>
          <w:sz w:val="18"/>
        </w:rPr>
        <w:t>作者拼音和顺序均与中文相同</w:t>
      </w:r>
    </w:p>
    <w:p w14:paraId="35A19931">
      <w:pPr>
        <w:ind w:firstLine="300"/>
        <w:jc w:val="center"/>
        <w:rPr>
          <w:rFonts w:cs="Times New Roman"/>
        </w:rPr>
      </w:pPr>
      <w:r>
        <w:rPr>
          <w:sz w:val="15"/>
        </w:rPr>
        <w:t>(</w:t>
      </w:r>
      <w:r>
        <w:rPr>
          <w:b/>
          <w:bCs/>
          <w:sz w:val="15"/>
        </w:rPr>
        <w:t>Address,Postalcode</w:t>
      </w:r>
      <w:r>
        <w:rPr>
          <w:b/>
          <w:bCs/>
          <w:sz w:val="15"/>
          <w:szCs w:val="15"/>
        </w:rPr>
        <w:t>（</w:t>
      </w:r>
      <w:r>
        <w:rPr>
          <w:rFonts w:asciiTheme="minorEastAsia" w:hAnsiTheme="minorEastAsia"/>
          <w:b/>
          <w:bCs/>
          <w:sz w:val="15"/>
          <w:szCs w:val="15"/>
        </w:rPr>
        <w:t>6</w:t>
      </w:r>
      <w:r>
        <w:rPr>
          <w:rFonts w:hint="eastAsia" w:asciiTheme="minorEastAsia" w:hAnsiTheme="minorEastAsia"/>
          <w:b/>
          <w:bCs/>
          <w:sz w:val="15"/>
          <w:szCs w:val="15"/>
        </w:rPr>
        <w:t>号</w:t>
      </w:r>
      <w:r>
        <w:rPr>
          <w:rFonts w:cs="Times New Roman"/>
          <w:b/>
          <w:bCs/>
          <w:sz w:val="15"/>
          <w:szCs w:val="15"/>
        </w:rPr>
        <w:t>Times New Roman</w:t>
      </w:r>
      <w:r>
        <w:rPr>
          <w:b/>
          <w:bCs/>
          <w:sz w:val="15"/>
          <w:szCs w:val="15"/>
        </w:rPr>
        <w:t>）</w:t>
      </w:r>
      <w:r>
        <w:rPr>
          <w:rFonts w:hint="eastAsia"/>
          <w:b/>
          <w:bCs/>
          <w:sz w:val="15"/>
        </w:rPr>
        <w:t>：</w:t>
      </w:r>
      <w:r>
        <w:rPr>
          <w:rFonts w:hint="eastAsia"/>
          <w:sz w:val="15"/>
        </w:rPr>
        <w:t>作者单位英译名要规范统一，与中文相同</w:t>
      </w:r>
    </w:p>
    <w:p w14:paraId="70117ED8">
      <w:pPr>
        <w:ind w:firstLine="0" w:firstLineChars="0"/>
        <w:rPr>
          <w:b/>
          <w:bCs/>
          <w:sz w:val="15"/>
        </w:rPr>
      </w:pPr>
    </w:p>
    <w:p w14:paraId="3A0B698C">
      <w:pPr>
        <w:spacing w:line="280" w:lineRule="exact"/>
        <w:ind w:firstLine="0" w:firstLineChars="0"/>
        <w:rPr>
          <w:sz w:val="18"/>
          <w:szCs w:val="18"/>
        </w:rPr>
      </w:pPr>
      <w:r>
        <w:rPr>
          <w:b/>
          <w:sz w:val="18"/>
          <w:szCs w:val="18"/>
        </w:rPr>
        <w:t>A</w:t>
      </w:r>
      <w:r>
        <w:rPr>
          <w:rFonts w:hint="eastAsia"/>
          <w:b/>
          <w:sz w:val="18"/>
          <w:szCs w:val="18"/>
        </w:rPr>
        <w:t>bstract（小5加粗）</w:t>
      </w:r>
      <w:r>
        <w:rPr>
          <w:b/>
          <w:sz w:val="18"/>
          <w:szCs w:val="18"/>
        </w:rPr>
        <w:t>:</w:t>
      </w:r>
      <w:r>
        <w:rPr>
          <w:rFonts w:hint="eastAsia"/>
          <w:sz w:val="18"/>
        </w:rPr>
        <w:t>英文摘要</w:t>
      </w:r>
      <w:r>
        <w:rPr>
          <w:rFonts w:hint="eastAsia"/>
          <w:sz w:val="18"/>
          <w:szCs w:val="18"/>
        </w:rPr>
        <w:t>内容与中文摘要相应（小5, 行距14磅）</w:t>
      </w:r>
    </w:p>
    <w:p w14:paraId="2CD11D62">
      <w:pPr>
        <w:spacing w:line="280" w:lineRule="exact"/>
        <w:ind w:firstLine="0" w:firstLineChars="0"/>
        <w:rPr>
          <w:sz w:val="18"/>
          <w:szCs w:val="18"/>
        </w:rPr>
      </w:pPr>
      <w:r>
        <w:rPr>
          <w:sz w:val="18"/>
          <w:szCs w:val="18"/>
        </w:rPr>
        <w:t>K</w:t>
      </w:r>
      <w:r>
        <w:rPr>
          <w:rFonts w:hint="eastAsia"/>
          <w:sz w:val="18"/>
          <w:szCs w:val="18"/>
        </w:rPr>
        <w:t>ey words（同上）</w:t>
      </w:r>
      <w:r>
        <w:rPr>
          <w:sz w:val="18"/>
          <w:szCs w:val="18"/>
        </w:rPr>
        <w:t>:</w:t>
      </w:r>
      <w:r>
        <w:rPr>
          <w:rFonts w:hint="eastAsia"/>
          <w:sz w:val="18"/>
          <w:szCs w:val="18"/>
        </w:rPr>
        <w:t>内容、数量和顺序均与中文相同</w:t>
      </w:r>
    </w:p>
    <w:p w14:paraId="0E247A64">
      <w:pPr>
        <w:snapToGrid w:val="0"/>
        <w:ind w:firstLine="420"/>
        <w:rPr>
          <w:szCs w:val="21"/>
        </w:rPr>
      </w:pPr>
      <w:r>
        <w:rPr>
          <w:rFonts w:hint="eastAsia"/>
          <w:color w:val="FF0000"/>
          <w:szCs w:val="21"/>
        </w:rPr>
        <w:t>注：文中所有英文字体均用Times New Roman</w:t>
      </w:r>
    </w:p>
    <w:p w14:paraId="433D1CBF">
      <w:pPr>
        <w:spacing w:line="280" w:lineRule="exact"/>
        <w:ind w:firstLine="420"/>
        <w:rPr>
          <w:szCs w:val="18"/>
        </w:rPr>
      </w:pPr>
    </w:p>
    <w:p w14:paraId="7479D778">
      <w:pPr>
        <w:spacing w:line="280" w:lineRule="exact"/>
        <w:ind w:firstLine="422"/>
        <w:rPr>
          <w:b/>
          <w:bCs/>
          <w:szCs w:val="18"/>
        </w:rPr>
      </w:pPr>
      <w:r>
        <w:rPr>
          <w:rFonts w:hint="eastAsia"/>
          <w:b/>
          <w:bCs/>
          <w:szCs w:val="18"/>
        </w:rPr>
        <w:t>空1行，行距：单倍行距</w:t>
      </w:r>
    </w:p>
    <w:p w14:paraId="6245407A">
      <w:pPr>
        <w:spacing w:line="280" w:lineRule="exact"/>
        <w:ind w:firstLine="420"/>
        <w:rPr>
          <w:szCs w:val="18"/>
        </w:rPr>
      </w:pPr>
    </w:p>
    <w:p w14:paraId="63EC0DD5">
      <w:pPr>
        <w:widowControl/>
        <w:spacing w:line="240" w:lineRule="atLeast"/>
        <w:ind w:firstLine="420"/>
        <w:rPr>
          <w:rFonts w:cs="Times New Roman" w:eastAsiaTheme="majorEastAsia"/>
          <w:color w:val="FF0000"/>
          <w:kern w:val="0"/>
          <w:szCs w:val="21"/>
        </w:rPr>
      </w:pPr>
      <w:r>
        <w:rPr>
          <w:rFonts w:cs="Times New Roman" w:eastAsiaTheme="majorEastAsia"/>
          <w:color w:val="FF0000"/>
          <w:kern w:val="0"/>
          <w:szCs w:val="21"/>
        </w:rPr>
        <w:t>（引言部分不设标题）</w:t>
      </w:r>
    </w:p>
    <w:p w14:paraId="1F7973D6">
      <w:pPr>
        <w:spacing w:line="240" w:lineRule="atLeast"/>
        <w:ind w:firstLine="420"/>
        <w:rPr>
          <w:rFonts w:cs="Times New Roman"/>
          <w:color w:val="FF0000"/>
          <w:kern w:val="0"/>
          <w:szCs w:val="21"/>
        </w:rPr>
      </w:pPr>
      <w:r>
        <w:rPr>
          <w:rFonts w:hint="eastAsia" w:ascii="宋体"/>
          <w:bCs/>
          <w:kern w:val="0"/>
        </w:rPr>
        <w:t>引言的书写不少于</w:t>
      </w:r>
      <w:r>
        <w:rPr>
          <w:rFonts w:ascii="宋体"/>
          <w:bCs/>
          <w:kern w:val="0"/>
        </w:rPr>
        <w:t>800</w:t>
      </w:r>
      <w:r>
        <w:rPr>
          <w:rFonts w:hint="eastAsia" w:ascii="宋体"/>
          <w:bCs/>
          <w:kern w:val="0"/>
        </w:rPr>
        <w:t>字（简报除外），应阐述论文的国际最新研究状况，说明论文的研究背景，前人在相关领域的研究历史、现状（应有相关文献进行引证，且尽量引用国内相关领域研究近况）以及尚存的知识空白，引出论文的研究目的、研究作用和研究意义。</w:t>
      </w:r>
      <w:r>
        <w:rPr>
          <w:rFonts w:hint="eastAsia" w:ascii="宋体"/>
          <w:bCs/>
          <w:color w:val="FF0000"/>
          <w:kern w:val="0"/>
        </w:rPr>
        <w:t>引言</w:t>
      </w:r>
      <w:r>
        <w:rPr>
          <w:rFonts w:cs="Times New Roman"/>
          <w:color w:val="FF0000"/>
          <w:kern w:val="0"/>
          <w:szCs w:val="21"/>
        </w:rPr>
        <w:t>不能出现图、表以及公式</w:t>
      </w:r>
      <w:r>
        <w:rPr>
          <w:rFonts w:hint="eastAsia" w:cs="Times New Roman"/>
          <w:color w:val="FF0000"/>
          <w:kern w:val="0"/>
          <w:szCs w:val="21"/>
        </w:rPr>
        <w:t>。</w:t>
      </w:r>
    </w:p>
    <w:p w14:paraId="23E09DDB">
      <w:pPr>
        <w:pStyle w:val="9"/>
        <w:spacing w:line="240" w:lineRule="auto"/>
        <w:ind w:firstLine="360"/>
        <w:rPr>
          <w:rFonts w:ascii="宋体"/>
          <w:bCs/>
          <w:color w:val="FF0000"/>
          <w:kern w:val="0"/>
        </w:rPr>
      </w:pPr>
    </w:p>
    <w:p w14:paraId="7C310CF9">
      <w:pPr>
        <w:pStyle w:val="9"/>
        <w:spacing w:line="240" w:lineRule="auto"/>
        <w:ind w:firstLine="360"/>
        <w:rPr>
          <w:rFonts w:ascii="宋体" w:hAnsi="宋体"/>
          <w:b/>
          <w:bCs/>
          <w:color w:val="FF0000"/>
        </w:rPr>
      </w:pPr>
      <w:r>
        <w:rPr>
          <w:rFonts w:hint="eastAsia" w:ascii="宋体"/>
          <w:b/>
          <w:bCs/>
          <w:color w:val="FF0000"/>
          <w:kern w:val="0"/>
        </w:rPr>
        <w:t>请参考</w:t>
      </w:r>
      <w:r>
        <w:rPr>
          <w:rFonts w:hint="eastAsia" w:ascii="宋体" w:hAnsi="宋体"/>
          <w:b/>
          <w:bCs/>
          <w:color w:val="FF0000"/>
        </w:rPr>
        <w:t>以下范文：</w:t>
      </w:r>
    </w:p>
    <w:p w14:paraId="5FD900B8">
      <w:pPr>
        <w:ind w:right="53" w:rightChars="25" w:firstLine="420"/>
        <w:rPr>
          <w:szCs w:val="21"/>
        </w:rPr>
      </w:pPr>
      <w:r>
        <w:rPr>
          <w:szCs w:val="21"/>
        </w:rPr>
        <w:t>【</w:t>
      </w:r>
      <w:r>
        <w:rPr>
          <w:b/>
          <w:szCs w:val="21"/>
        </w:rPr>
        <w:t>研究意义</w:t>
      </w:r>
      <w:r>
        <w:rPr>
          <w:szCs w:val="21"/>
        </w:rPr>
        <w:t>】樱桃（</w:t>
      </w:r>
      <w:r>
        <w:rPr>
          <w:i/>
          <w:iCs/>
          <w:szCs w:val="21"/>
        </w:rPr>
        <w:t>Prunus avium L.</w:t>
      </w:r>
      <w:r>
        <w:rPr>
          <w:szCs w:val="21"/>
        </w:rPr>
        <w:t>），属蔷薇科李亚科樱属植物，已成为我国在北方地区极其重要的特产水果之一。果实含有大量的糖、蛋白质、维生素及钙、铁、磷、钾等多种</w:t>
      </w:r>
      <w:r>
        <w:rPr>
          <w:color w:val="000000"/>
          <w:szCs w:val="21"/>
        </w:rPr>
        <w:t>必需</w:t>
      </w:r>
      <w:r>
        <w:rPr>
          <w:szCs w:val="21"/>
        </w:rPr>
        <w:t>元素，具有较高的经济价值。樱桃原自于欧洲西部，引种进入我国已有100多年</w:t>
      </w:r>
      <w:r>
        <w:rPr>
          <w:szCs w:val="21"/>
          <w:vertAlign w:val="superscript"/>
        </w:rPr>
        <w:t>[1]</w:t>
      </w:r>
      <w:r>
        <w:rPr>
          <w:szCs w:val="21"/>
        </w:rPr>
        <w:t>。近年来，我国樱桃栽培面积和果实生产量有逐年递增的趋势，据2021年数据，樱桃栽植面积约23.33万hm</w:t>
      </w:r>
      <w:r>
        <w:rPr>
          <w:szCs w:val="21"/>
          <w:vertAlign w:val="superscript"/>
        </w:rPr>
        <w:t>2 [2]</w:t>
      </w:r>
      <w:r>
        <w:rPr>
          <w:szCs w:val="21"/>
        </w:rPr>
        <w:t>，主要集中在环渤海湾产区约10万hm</w:t>
      </w:r>
      <w:r>
        <w:rPr>
          <w:szCs w:val="21"/>
          <w:vertAlign w:val="superscript"/>
        </w:rPr>
        <w:t xml:space="preserve">2 </w:t>
      </w:r>
      <w:r>
        <w:rPr>
          <w:szCs w:val="21"/>
        </w:rPr>
        <w:t>；龙海路沿线及西北产区约2.67万hm</w:t>
      </w:r>
      <w:r>
        <w:rPr>
          <w:szCs w:val="21"/>
          <w:vertAlign w:val="superscript"/>
        </w:rPr>
        <w:t xml:space="preserve">2 </w:t>
      </w:r>
      <w:r>
        <w:rPr>
          <w:szCs w:val="21"/>
        </w:rPr>
        <w:t>，其中青海约0.07万hm</w:t>
      </w:r>
      <w:r>
        <w:rPr>
          <w:szCs w:val="21"/>
          <w:vertAlign w:val="superscript"/>
        </w:rPr>
        <w:t xml:space="preserve">2 </w:t>
      </w:r>
      <w:r>
        <w:rPr>
          <w:szCs w:val="21"/>
        </w:rPr>
        <w:t>；西南高海拔产区0.67万hm</w:t>
      </w:r>
      <w:r>
        <w:rPr>
          <w:szCs w:val="21"/>
          <w:vertAlign w:val="superscript"/>
        </w:rPr>
        <w:t>2</w:t>
      </w:r>
      <w:r>
        <w:rPr>
          <w:szCs w:val="21"/>
        </w:rPr>
        <w:t>。西北产区如陕西、甘肃、新疆、青海等地樱桃生长势较好</w:t>
      </w:r>
      <w:r>
        <w:rPr>
          <w:szCs w:val="21"/>
          <w:vertAlign w:val="superscript"/>
        </w:rPr>
        <w:t>[3]</w:t>
      </w:r>
      <w:r>
        <w:rPr>
          <w:szCs w:val="21"/>
        </w:rPr>
        <w:t>，其中青海省位于我国西北高原地区，气候冷凉、降雨量较少、光照充足，较适宜樱桃高产栽培</w:t>
      </w:r>
      <w:r>
        <w:rPr>
          <w:szCs w:val="21"/>
          <w:vertAlign w:val="superscript"/>
        </w:rPr>
        <w:t>[4]</w:t>
      </w:r>
      <w:r>
        <w:rPr>
          <w:szCs w:val="21"/>
        </w:rPr>
        <w:t>。樱桃栽培方式主要为嫁接，生长较好的砧穗组合可以加强樱桃对病虫害的抗性，提高樱桃的产量和品质</w:t>
      </w:r>
      <w:r>
        <w:rPr>
          <w:szCs w:val="21"/>
          <w:vertAlign w:val="superscript"/>
        </w:rPr>
        <w:t>[5]</w:t>
      </w:r>
      <w:r>
        <w:rPr>
          <w:szCs w:val="21"/>
        </w:rPr>
        <w:t>。筛选适宜砧穗组合是樱桃丰产栽培的基础，其亲和性强弱直接关系着樱桃种植的成功与否</w:t>
      </w:r>
      <w:r>
        <w:rPr>
          <w:szCs w:val="21"/>
          <w:vertAlign w:val="superscript"/>
        </w:rPr>
        <w:t>[6]</w:t>
      </w:r>
      <w:r>
        <w:rPr>
          <w:szCs w:val="21"/>
        </w:rPr>
        <w:t>。樱桃果实的品质、产量、植株抗性与砧木关系密切，樱桃砧木马哈利和考特易感根瘤病，而吉塞拉6号具有较好的矮化性、早果性、早丰产、较抗根瘤病及多种细菌溃疡病和土壤适应能力强等优点，与很多樱桃砧穗品种相比具有较强的亲和性。</w:t>
      </w:r>
    </w:p>
    <w:p w14:paraId="6D02B6A0">
      <w:pPr>
        <w:ind w:right="53" w:rightChars="25" w:firstLine="420"/>
        <w:rPr>
          <w:szCs w:val="21"/>
        </w:rPr>
      </w:pPr>
      <w:r>
        <w:rPr>
          <w:szCs w:val="21"/>
        </w:rPr>
        <w:t>【</w:t>
      </w:r>
      <w:r>
        <w:rPr>
          <w:b/>
          <w:szCs w:val="21"/>
        </w:rPr>
        <w:t>前人研究进展</w:t>
      </w:r>
      <w:r>
        <w:rPr>
          <w:szCs w:val="21"/>
        </w:rPr>
        <w:t>】筛选适宜砧穗组合的关键是确定亲和性评价指标，怎样从众多指标中寻找出既可以表现亲和性强弱，又方便操作的指标，是研究的重要内容之一。当前藤本植物是亲和性强弱的评价的主要种类，而乔木果树的研究相对较少</w:t>
      </w:r>
      <w:r>
        <w:rPr>
          <w:szCs w:val="21"/>
          <w:vertAlign w:val="superscript"/>
        </w:rPr>
        <w:t>[7]</w:t>
      </w:r>
      <w:r>
        <w:rPr>
          <w:szCs w:val="21"/>
        </w:rPr>
        <w:t>。无论藤本植物还是乔木树种，目前普遍运用的评价亲和性强弱指标均为易于观察和便于测量的形态指标，如地径、根系特征、叶片数目、株高、新梢长和嫁接大小脚现象等</w:t>
      </w:r>
      <w:r>
        <w:rPr>
          <w:szCs w:val="21"/>
          <w:vertAlign w:val="superscript"/>
        </w:rPr>
        <w:t>[8-9]</w:t>
      </w:r>
      <w:r>
        <w:rPr>
          <w:szCs w:val="21"/>
        </w:rPr>
        <w:t>。一部分学者研究认为形态指标在某种程度上能够表现嫁接亲和性的强弱，但在某些情形中与苗木栽培后生长情况之间的相关性并不显著。植株干重、可溶性糖、可溶性蛋白及总酚等生理指标可当作评价砧穗嫁接亲和性强弱的指标</w:t>
      </w:r>
      <w:r>
        <w:rPr>
          <w:szCs w:val="21"/>
          <w:vertAlign w:val="superscript"/>
        </w:rPr>
        <w:t>[10-11]</w:t>
      </w:r>
      <w:r>
        <w:rPr>
          <w:szCs w:val="21"/>
        </w:rPr>
        <w:t>。文壮</w:t>
      </w:r>
      <w:r>
        <w:rPr>
          <w:szCs w:val="21"/>
          <w:vertAlign w:val="superscript"/>
        </w:rPr>
        <w:t>[6]</w:t>
      </w:r>
      <w:r>
        <w:rPr>
          <w:szCs w:val="21"/>
        </w:rPr>
        <w:t>等研究认为，“红皮”砧嫁接的樱桃品种新梢的生长速率与“青皮”砧相比更快，且叶片中叶绿素和可溶性糖含量显著高于“青皮”砧嫁接品种，同时叶片气孔导度及光合速率显著增加，从中可以推测新梢生长量、叶绿素和可溶性糖可以作为反映嫁接亲和性强弱的指标。梁发辉</w:t>
      </w:r>
      <w:r>
        <w:rPr>
          <w:szCs w:val="21"/>
          <w:vertAlign w:val="superscript"/>
        </w:rPr>
        <w:t>[12]</w:t>
      </w:r>
      <w:r>
        <w:rPr>
          <w:szCs w:val="21"/>
        </w:rPr>
        <w:t>等研究发现，与乔化砧相比，嫁接在矮化砧上的樱桃植株叶片中的可溶性糖含量、超氧化物歧化酶（SOD)活性相比较而言更高，进而推测出叶片的生理指标能在某种水平上表现嫁接在不同砧木上嫁接苗的生长情况。【</w:t>
      </w:r>
      <w:r>
        <w:rPr>
          <w:b/>
          <w:szCs w:val="21"/>
        </w:rPr>
        <w:t>本研究切入点</w:t>
      </w:r>
      <w:r>
        <w:rPr>
          <w:szCs w:val="21"/>
        </w:rPr>
        <w:t>】目前，国内外研究人员主要是进行植物生理、组织学、细胞学等多角度的研究来探寻嫁接苗早期嫁接亲和性的评价指标</w:t>
      </w:r>
      <w:r>
        <w:rPr>
          <w:szCs w:val="21"/>
          <w:vertAlign w:val="superscript"/>
        </w:rPr>
        <w:t xml:space="preserve"> [13]</w:t>
      </w:r>
      <w:r>
        <w:rPr>
          <w:szCs w:val="21"/>
        </w:rPr>
        <w:t>，而在樱桃形态学和生理方面与亲和性关系的研究鲜有报道。【</w:t>
      </w:r>
      <w:r>
        <w:rPr>
          <w:b/>
          <w:szCs w:val="21"/>
        </w:rPr>
        <w:t>拟解决的关键问题</w:t>
      </w:r>
      <w:r>
        <w:rPr>
          <w:szCs w:val="21"/>
        </w:rPr>
        <w:t>】基于此，本试验选取吉塞拉6号为砧木品种,17个樱桃品种为接穗，对其形态和生理指标—成活率、株高、砧穗直径比、干重、可溶性蛋白、可溶性糖、总酚和过氧化氢酶(CAT)、过氧化物酶(POD)、超氧化物歧化酶、苯丙氨酸解氨酶(PAL）和多酚氧化酶(PPO)等进行测定，探讨形态和生理指标与嫁接成活率的关系，进一步筛选出与砧木吉塞拉6号嫁接亲和性较强的接穗组合，以期为青海省筛选优良樱桃品种提供</w:t>
      </w:r>
      <w:r>
        <w:rPr>
          <w:color w:val="000000"/>
          <w:szCs w:val="21"/>
        </w:rPr>
        <w:t>参考依据</w:t>
      </w:r>
      <w:r>
        <w:rPr>
          <w:szCs w:val="21"/>
        </w:rPr>
        <w:t>。</w:t>
      </w:r>
    </w:p>
    <w:p w14:paraId="624E2148">
      <w:pPr>
        <w:pStyle w:val="9"/>
        <w:spacing w:line="240" w:lineRule="auto"/>
        <w:ind w:firstLine="360"/>
        <w:rPr>
          <w:rFonts w:ascii="宋体"/>
          <w:bCs/>
          <w:color w:val="C00000"/>
          <w:kern w:val="0"/>
        </w:rPr>
      </w:pPr>
    </w:p>
    <w:p w14:paraId="33BA915E">
      <w:pPr>
        <w:ind w:firstLine="0" w:firstLineChars="0"/>
        <w:rPr>
          <w:rFonts w:cs="Times New Roman"/>
        </w:rPr>
      </w:pPr>
    </w:p>
    <w:p w14:paraId="77A05124">
      <w:pPr>
        <w:ind w:firstLine="0" w:firstLineChars="0"/>
        <w:rPr>
          <w:rFonts w:ascii="黑体" w:hAnsi="黑体" w:eastAsia="黑体" w:cs="Times New Roman"/>
          <w:sz w:val="28"/>
          <w:szCs w:val="28"/>
        </w:rPr>
      </w:pPr>
      <w:r>
        <w:rPr>
          <w:rFonts w:hint="eastAsia" w:ascii="黑体" w:hAnsi="黑体" w:eastAsia="黑体" w:cs="Times New Roman"/>
          <w:sz w:val="28"/>
          <w:szCs w:val="28"/>
        </w:rPr>
        <w:t>1  一级标题：4号黑体，顶格左排</w:t>
      </w:r>
    </w:p>
    <w:p w14:paraId="60890338">
      <w:pPr>
        <w:ind w:firstLine="0" w:firstLineChars="0"/>
        <w:rPr>
          <w:rFonts w:ascii="黑体" w:hAnsi="黑体" w:eastAsia="黑体"/>
          <w:szCs w:val="21"/>
        </w:rPr>
      </w:pPr>
      <w:r>
        <w:rPr>
          <w:rFonts w:hint="eastAsia" w:ascii="黑体" w:hAnsi="黑体" w:eastAsia="黑体" w:cs="Times New Roman"/>
          <w:szCs w:val="21"/>
        </w:rPr>
        <w:t>1.1 二级标题：5号黑体，</w:t>
      </w:r>
      <w:r>
        <w:rPr>
          <w:rFonts w:hint="eastAsia" w:ascii="黑体" w:hAnsi="黑体" w:eastAsia="黑体"/>
          <w:szCs w:val="21"/>
        </w:rPr>
        <w:t>左齐</w:t>
      </w:r>
    </w:p>
    <w:p w14:paraId="2F628C68">
      <w:pPr>
        <w:pStyle w:val="9"/>
        <w:spacing w:line="240" w:lineRule="auto"/>
        <w:ind w:firstLine="360"/>
        <w:rPr>
          <w:b/>
          <w:sz w:val="18"/>
          <w:szCs w:val="18"/>
        </w:rPr>
      </w:pPr>
      <w:r>
        <w:rPr>
          <w:rFonts w:hint="eastAsia" w:asciiTheme="minorEastAsia" w:hAnsiTheme="minorEastAsia" w:eastAsiaTheme="minorEastAsia"/>
          <w:b/>
          <w:bCs/>
          <w:szCs w:val="21"/>
        </w:rPr>
        <w:t>正文：</w:t>
      </w:r>
      <w:r>
        <w:rPr>
          <w:rFonts w:hint="eastAsia" w:ascii="宋体"/>
          <w:b/>
          <w:kern w:val="0"/>
        </w:rPr>
        <w:t>五号字，宋体</w:t>
      </w:r>
    </w:p>
    <w:p w14:paraId="11002016">
      <w:pPr>
        <w:ind w:firstLine="0" w:firstLineChars="0"/>
        <w:rPr>
          <w:rFonts w:ascii="楷体" w:hAnsi="楷体" w:eastAsia="楷体"/>
        </w:rPr>
      </w:pPr>
      <w:r>
        <w:rPr>
          <w:rFonts w:hint="eastAsia" w:ascii="楷体" w:hAnsi="楷体" w:eastAsia="楷体"/>
        </w:rPr>
        <w:t>1.1.1  三</w:t>
      </w:r>
      <w:r>
        <w:rPr>
          <w:rFonts w:hint="eastAsia" w:ascii="楷体" w:hAnsi="楷体" w:eastAsia="楷体" w:cs="Times New Roman"/>
        </w:rPr>
        <w:t>级标题：5号楷体，</w:t>
      </w:r>
      <w:r>
        <w:rPr>
          <w:rFonts w:hint="eastAsia" w:ascii="楷体" w:hAnsi="楷体" w:eastAsia="楷体"/>
        </w:rPr>
        <w:t>左齐</w:t>
      </w:r>
    </w:p>
    <w:p w14:paraId="4E99F658">
      <w:pPr>
        <w:spacing w:line="320" w:lineRule="exact"/>
        <w:ind w:firstLine="420"/>
        <w:rPr>
          <w:rFonts w:eastAsia="方正书宋简体"/>
        </w:rPr>
      </w:pPr>
      <w:r>
        <w:rPr>
          <w:rFonts w:hint="eastAsia" w:eastAsia="方正书宋简体"/>
        </w:rPr>
        <w:t>（1）公式要求</w:t>
      </w:r>
    </w:p>
    <w:p w14:paraId="5C8A5E78">
      <w:pPr>
        <w:tabs>
          <w:tab w:val="left" w:pos="360"/>
        </w:tabs>
        <w:spacing w:line="320" w:lineRule="exact"/>
        <w:ind w:firstLine="420"/>
        <w:rPr>
          <w:rFonts w:eastAsia="方正书宋简体"/>
          <w:color w:val="FF0000"/>
        </w:rPr>
      </w:pPr>
      <w:r>
        <w:rPr>
          <w:rFonts w:hint="eastAsia" w:eastAsia="方正书宋简体"/>
          <w:color w:val="FF0000"/>
        </w:rPr>
        <w:t>公式编号右齐，单倍行距，公式变量用斜体，矢量、张量为斜体加黑</w:t>
      </w:r>
      <w:r>
        <w:rPr>
          <w:rFonts w:eastAsia="方正书宋简体"/>
          <w:color w:val="FF0000"/>
        </w:rPr>
        <w:t>；</w:t>
      </w:r>
      <w:r>
        <w:rPr>
          <w:rFonts w:hint="eastAsia"/>
          <w:color w:val="FF0000"/>
        </w:rPr>
        <w:t>三角函数、双曲函数、对数、特殊函数的符号、圆周率</w:t>
      </w:r>
      <w:r>
        <w:rPr>
          <w:color w:val="FF0000"/>
          <w:position w:val="-4"/>
        </w:rPr>
        <w:object>
          <v:shape id="_x0000_i1025" o:spt="75" type="#_x0000_t75" style="height:11.9pt;width:10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r>
        <w:rPr>
          <w:rFonts w:hint="eastAsia"/>
          <w:color w:val="FF0000"/>
        </w:rPr>
        <w:t>、自然对数底e、虚数单位</w:t>
      </w:r>
      <w:r>
        <w:rPr>
          <w:color w:val="FF0000"/>
        </w:rPr>
        <w:t>i</w:t>
      </w:r>
      <w:r>
        <w:rPr>
          <w:rFonts w:hint="eastAsia"/>
          <w:color w:val="FF0000"/>
        </w:rPr>
        <w:t>、j、微分符号d等均排正体</w:t>
      </w:r>
      <w:r>
        <w:rPr>
          <w:rFonts w:hint="eastAsia" w:eastAsia="方正书宋简体"/>
          <w:color w:val="FF0000"/>
        </w:rPr>
        <w:t>。</w:t>
      </w:r>
    </w:p>
    <w:p w14:paraId="588D92CD">
      <w:pPr>
        <w:spacing w:line="400" w:lineRule="exact"/>
        <w:ind w:firstLine="420"/>
        <w:rPr>
          <w:rFonts w:eastAsia="方正书宋简体"/>
        </w:rPr>
      </w:pPr>
      <w:r>
        <w:rPr>
          <w:rFonts w:hint="eastAsia" w:eastAsia="方正书宋简体"/>
        </w:rPr>
        <w:t>第一次出现的公式符号需说明，如</w:t>
      </w:r>
    </w:p>
    <w:p w14:paraId="289095A5">
      <w:pPr>
        <w:spacing w:line="520" w:lineRule="exact"/>
        <w:ind w:firstLine="0" w:firstLineChars="0"/>
        <w:jc w:val="right"/>
        <w:rPr>
          <w:rFonts w:cs="Times New Roman"/>
          <w:color w:val="000000" w:themeColor="text1"/>
          <w:szCs w:val="21"/>
        </w:rPr>
      </w:pPr>
      <m:oMath>
        <m:sSubSup>
          <m:sSubSupPr>
            <m:ctrlPr>
              <w:rPr>
                <w:rFonts w:ascii="Cambria Math" w:hAnsi="Cambria Math" w:cs="Times New Roman"/>
                <w:i/>
                <w:color w:val="000000" w:themeColor="text1"/>
                <w:szCs w:val="21"/>
              </w:rPr>
            </m:ctrlPr>
          </m:sSubSupPr>
          <m:e>
            <m:r>
              <m:rPr/>
              <w:rPr>
                <w:rFonts w:ascii="Cambria Math" w:hAnsi="Cambria Math" w:cs="Times New Roman"/>
                <w:color w:val="000000" w:themeColor="text1"/>
                <w:szCs w:val="21"/>
              </w:rPr>
              <m:t>W</m:t>
            </m:r>
            <m:ctrlPr>
              <w:rPr>
                <w:rFonts w:ascii="Cambria Math" w:hAnsi="Cambria Math" w:cs="Times New Roman"/>
                <w:i/>
                <w:color w:val="000000" w:themeColor="text1"/>
                <w:szCs w:val="21"/>
              </w:rPr>
            </m:ctrlPr>
          </m:e>
          <m:sub>
            <m:r>
              <m:rPr/>
              <w:rPr>
                <w:rFonts w:ascii="Cambria Math" w:hAnsi="Cambria Math" w:cs="Times New Roman"/>
                <w:color w:val="000000" w:themeColor="text1"/>
                <w:szCs w:val="21"/>
              </w:rPr>
              <m:t>a</m:t>
            </m:r>
            <m:ctrlPr>
              <w:rPr>
                <w:rFonts w:ascii="Cambria Math" w:hAnsi="Cambria Math" w:cs="Times New Roman"/>
                <w:i/>
                <w:color w:val="000000" w:themeColor="text1"/>
                <w:szCs w:val="21"/>
              </w:rPr>
            </m:ctrlPr>
          </m:sub>
          <m:sup>
            <m:r>
              <m:rPr/>
              <w:rPr>
                <w:rFonts w:ascii="Cambria Math" w:hAnsi="Cambria Math" w:cs="Times New Roman"/>
                <w:color w:val="000000" w:themeColor="text1"/>
                <w:szCs w:val="21"/>
              </w:rPr>
              <m:t>i</m:t>
            </m:r>
            <m:ctrlPr>
              <w:rPr>
                <w:rFonts w:ascii="Cambria Math" w:hAnsi="Cambria Math" w:cs="Times New Roman"/>
                <w:i/>
                <w:color w:val="000000" w:themeColor="text1"/>
                <w:szCs w:val="21"/>
              </w:rPr>
            </m:ctrlPr>
          </m:sup>
        </m:sSubSup>
        <m:r>
          <m:rPr/>
          <w:rPr>
            <w:rFonts w:ascii="Cambria Math" w:hAnsi="Cambria Math" w:cs="Times New Roman"/>
            <w:color w:val="000000" w:themeColor="text1"/>
            <w:szCs w:val="21"/>
          </w:rPr>
          <m:t>=</m:t>
        </m:r>
        <m:sSubSup>
          <m:sSubSupPr>
            <m:ctrlPr>
              <w:rPr>
                <w:rFonts w:ascii="Cambria Math" w:hAnsi="Cambria Math" w:cs="Times New Roman"/>
                <w:i/>
                <w:color w:val="000000" w:themeColor="text1"/>
                <w:szCs w:val="21"/>
              </w:rPr>
            </m:ctrlPr>
          </m:sSubSupPr>
          <m:e>
            <m:r>
              <m:rPr/>
              <w:rPr>
                <w:rFonts w:ascii="Cambria Math" w:hAnsi="Cambria Math" w:cs="Times New Roman"/>
                <w:color w:val="000000" w:themeColor="text1"/>
                <w:szCs w:val="21"/>
              </w:rPr>
              <m:t>W</m:t>
            </m:r>
            <m:ctrlPr>
              <w:rPr>
                <w:rFonts w:ascii="Cambria Math" w:hAnsi="Cambria Math" w:cs="Times New Roman"/>
                <w:i/>
                <w:color w:val="000000" w:themeColor="text1"/>
                <w:szCs w:val="21"/>
              </w:rPr>
            </m:ctrlPr>
          </m:e>
          <m:sub>
            <m:r>
              <m:rPr/>
              <w:rPr>
                <w:rFonts w:ascii="Cambria Math" w:hAnsi="Cambria Math" w:cs="Times New Roman"/>
                <w:color w:val="000000" w:themeColor="text1"/>
                <w:szCs w:val="21"/>
              </w:rPr>
              <m:t>a</m:t>
            </m:r>
            <m:ctrlPr>
              <w:rPr>
                <w:rFonts w:ascii="Cambria Math" w:hAnsi="Cambria Math" w:cs="Times New Roman"/>
                <w:i/>
                <w:color w:val="000000" w:themeColor="text1"/>
                <w:szCs w:val="21"/>
              </w:rPr>
            </m:ctrlPr>
          </m:sub>
          <m:sup>
            <m:r>
              <m:rPr/>
              <w:rPr>
                <w:rFonts w:ascii="Cambria Math" w:hAnsi="Cambria Math" w:cs="Times New Roman"/>
                <w:color w:val="000000" w:themeColor="text1"/>
                <w:szCs w:val="21"/>
              </w:rPr>
              <m:t>i−1</m:t>
            </m:r>
            <m:ctrlPr>
              <w:rPr>
                <w:rFonts w:ascii="Cambria Math" w:hAnsi="Cambria Math" w:cs="Times New Roman"/>
                <w:i/>
                <w:color w:val="000000" w:themeColor="text1"/>
                <w:szCs w:val="21"/>
              </w:rPr>
            </m:ctrlPr>
          </m:sup>
        </m:sSubSup>
        <m:r>
          <m:rPr/>
          <w:rPr>
            <w:rFonts w:ascii="Cambria Math" w:hAnsi="Cambria Math" w:cs="Times New Roman"/>
            <w:color w:val="000000" w:themeColor="text1"/>
            <w:szCs w:val="21"/>
          </w:rPr>
          <m:t>−</m:t>
        </m:r>
        <m:nary>
          <m:naryPr>
            <m:chr m:val="∑"/>
            <m:limLoc m:val="undOvr"/>
            <m:ctrlPr>
              <w:rPr>
                <w:rFonts w:ascii="Cambria Math" w:hAnsi="Cambria Math" w:cs="Times New Roman"/>
                <w:i/>
                <w:color w:val="000000" w:themeColor="text1"/>
                <w:szCs w:val="21"/>
              </w:rPr>
            </m:ctrlPr>
          </m:naryPr>
          <m:sub>
            <m:r>
              <m:rPr/>
              <w:rPr>
                <w:rFonts w:ascii="Cambria Math" w:hAnsi="Cambria Math" w:cs="Times New Roman"/>
                <w:color w:val="000000" w:themeColor="text1"/>
                <w:szCs w:val="21"/>
              </w:rPr>
              <m:t>j=1</m:t>
            </m:r>
            <m:ctrlPr>
              <w:rPr>
                <w:rFonts w:ascii="Cambria Math" w:hAnsi="Cambria Math" w:cs="Times New Roman"/>
                <w:i/>
                <w:color w:val="000000" w:themeColor="text1"/>
                <w:szCs w:val="21"/>
              </w:rPr>
            </m:ctrlPr>
          </m:sub>
          <m:sup>
            <m:r>
              <m:rPr/>
              <w:rPr>
                <w:rFonts w:ascii="Cambria Math" w:hAnsi="Cambria Math" w:cs="Times New Roman"/>
                <w:color w:val="000000" w:themeColor="text1"/>
                <w:szCs w:val="21"/>
              </w:rPr>
              <m:t>k</m:t>
            </m:r>
            <m:ctrlPr>
              <w:rPr>
                <w:rFonts w:ascii="Cambria Math" w:hAnsi="Cambria Math" w:cs="Times New Roman"/>
                <w:i/>
                <w:color w:val="000000" w:themeColor="text1"/>
                <w:szCs w:val="21"/>
              </w:rPr>
            </m:ctrlPr>
          </m:sup>
          <m:e>
            <m:f>
              <m:fPr>
                <m:ctrlPr>
                  <w:rPr>
                    <w:rFonts w:ascii="Cambria Math" w:hAnsi="Cambria Math" w:cs="Times New Roman"/>
                    <w:i/>
                    <w:color w:val="000000" w:themeColor="text1"/>
                    <w:szCs w:val="21"/>
                  </w:rPr>
                </m:ctrlPr>
              </m:fPr>
              <m:num>
                <m:sSub>
                  <m:sSubPr>
                    <m:ctrlPr>
                      <w:rPr>
                        <w:rFonts w:ascii="Cambria Math" w:hAnsi="Cambria Math" w:cs="Times New Roman"/>
                        <w:i/>
                        <w:color w:val="000000" w:themeColor="text1"/>
                        <w:szCs w:val="21"/>
                      </w:rPr>
                    </m:ctrlPr>
                  </m:sSubPr>
                  <m:e>
                    <m:r>
                      <m:rPr/>
                      <w:rPr>
                        <w:rFonts w:ascii="Cambria Math" w:hAnsi="Cambria Math" w:cs="Times New Roman"/>
                        <w:color w:val="000000" w:themeColor="text1"/>
                        <w:szCs w:val="21"/>
                      </w:rPr>
                      <m:t>diff</m:t>
                    </m:r>
                    <m:ctrlPr>
                      <w:rPr>
                        <w:rFonts w:ascii="Cambria Math" w:hAnsi="Cambria Math" w:cs="Times New Roman"/>
                        <w:i/>
                        <w:color w:val="000000" w:themeColor="text1"/>
                        <w:szCs w:val="21"/>
                      </w:rPr>
                    </m:ctrlPr>
                  </m:e>
                  <m:sub>
                    <m:r>
                      <m:rPr/>
                      <w:rPr>
                        <w:rFonts w:ascii="Cambria Math" w:hAnsi="Cambria Math" w:cs="Times New Roman"/>
                        <w:color w:val="000000" w:themeColor="text1"/>
                        <w:szCs w:val="21"/>
                      </w:rPr>
                      <m:t>a</m:t>
                    </m:r>
                    <m:ctrlPr>
                      <w:rPr>
                        <w:rFonts w:ascii="Cambria Math" w:hAnsi="Cambria Math" w:cs="Times New Roman"/>
                        <w:i/>
                        <w:color w:val="000000" w:themeColor="text1"/>
                        <w:szCs w:val="21"/>
                      </w:rPr>
                    </m:ctrlPr>
                  </m:sub>
                </m:sSub>
                <m:r>
                  <m:rPr/>
                  <w:rPr>
                    <w:rFonts w:ascii="Cambria Math" w:hAnsi="Cambria Math" w:cs="Times New Roman"/>
                    <w:color w:val="000000" w:themeColor="text1"/>
                    <w:szCs w:val="21"/>
                  </w:rPr>
                  <m:t>(x,H(x))</m:t>
                </m:r>
                <m:ctrlPr>
                  <w:rPr>
                    <w:rFonts w:ascii="Cambria Math" w:hAnsi="Cambria Math" w:cs="Times New Roman"/>
                    <w:i/>
                    <w:color w:val="000000" w:themeColor="text1"/>
                    <w:szCs w:val="21"/>
                  </w:rPr>
                </m:ctrlPr>
              </m:num>
              <m:den>
                <m:r>
                  <m:rPr/>
                  <w:rPr>
                    <w:rFonts w:ascii="Cambria Math" w:hAnsi="Cambria Math" w:cs="Times New Roman"/>
                    <w:color w:val="000000" w:themeColor="text1"/>
                    <w:szCs w:val="21"/>
                  </w:rPr>
                  <m:t>m×k</m:t>
                </m:r>
                <m:ctrlPr>
                  <w:rPr>
                    <w:rFonts w:ascii="Cambria Math" w:hAnsi="Cambria Math" w:cs="Times New Roman"/>
                    <w:i/>
                    <w:color w:val="000000" w:themeColor="text1"/>
                    <w:szCs w:val="21"/>
                  </w:rPr>
                </m:ctrlPr>
              </m:den>
            </m:f>
            <m:r>
              <m:rPr/>
              <w:rPr>
                <w:rFonts w:ascii="Cambria Math" w:hAnsi="Cambria Math" w:cs="Times New Roman"/>
                <w:color w:val="000000" w:themeColor="text1"/>
                <w:szCs w:val="21"/>
              </w:rPr>
              <m:t>+</m:t>
            </m:r>
            <m:nary>
              <m:naryPr>
                <m:chr m:val="∑"/>
                <m:limLoc m:val="undOvr"/>
                <m:supHide m:val="1"/>
                <m:ctrlPr>
                  <w:rPr>
                    <w:rFonts w:ascii="Cambria Math" w:hAnsi="Cambria Math" w:cs="Times New Roman"/>
                    <w:i/>
                    <w:color w:val="000000" w:themeColor="text1"/>
                    <w:szCs w:val="21"/>
                  </w:rPr>
                </m:ctrlPr>
              </m:naryPr>
              <m:sub>
                <m:r>
                  <m:rPr>
                    <m:sty m:val="p"/>
                  </m:rPr>
                  <w:rPr>
                    <w:rFonts w:ascii="Cambria Math" w:hAnsi="Cambria Math" w:cs="Times New Roman"/>
                    <w:color w:val="000000" w:themeColor="text1"/>
                    <w:szCs w:val="21"/>
                  </w:rPr>
                  <m:t>C≠class(</m:t>
                </m:r>
                <m:r>
                  <m:rPr/>
                  <w:rPr>
                    <w:rFonts w:ascii="Cambria Math" w:hAnsi="Cambria Math" w:cs="Times New Roman"/>
                    <w:color w:val="000000" w:themeColor="text1"/>
                    <w:szCs w:val="21"/>
                  </w:rPr>
                  <m:t>x</m:t>
                </m:r>
                <m:r>
                  <m:rPr>
                    <m:sty m:val="p"/>
                  </m:rPr>
                  <w:rPr>
                    <w:rFonts w:ascii="Cambria Math" w:hAnsi="Cambria Math" w:cs="Times New Roman"/>
                    <w:color w:val="000000" w:themeColor="text1"/>
                    <w:szCs w:val="21"/>
                  </w:rPr>
                  <m:t>)</m:t>
                </m:r>
                <m:ctrlPr>
                  <w:rPr>
                    <w:rFonts w:ascii="Cambria Math" w:hAnsi="Cambria Math" w:cs="Times New Roman"/>
                    <w:i/>
                    <w:color w:val="000000" w:themeColor="text1"/>
                    <w:szCs w:val="21"/>
                  </w:rPr>
                </m:ctrlPr>
              </m:sub>
              <m:sup>
                <m:ctrlPr>
                  <w:rPr>
                    <w:rFonts w:ascii="Cambria Math" w:hAnsi="Cambria Math" w:cs="Times New Roman"/>
                    <w:i/>
                    <w:color w:val="000000" w:themeColor="text1"/>
                    <w:szCs w:val="21"/>
                  </w:rPr>
                </m:ctrlPr>
              </m:sup>
              <m:e>
                <m:f>
                  <m:fPr>
                    <m:ctrlPr>
                      <w:rPr>
                        <w:rFonts w:ascii="Cambria Math" w:hAnsi="Cambria Math" w:cs="Times New Roman"/>
                        <w:i/>
                        <w:color w:val="000000" w:themeColor="text1"/>
                        <w:szCs w:val="21"/>
                      </w:rPr>
                    </m:ctrlPr>
                  </m:fPr>
                  <m:num>
                    <m:f>
                      <m:fPr>
                        <m:ctrlPr>
                          <w:rPr>
                            <w:rFonts w:ascii="Cambria Math" w:hAnsi="Cambria Math" w:cs="Times New Roman"/>
                            <w:i/>
                            <w:color w:val="000000" w:themeColor="text1"/>
                            <w:szCs w:val="21"/>
                          </w:rPr>
                        </m:ctrlPr>
                      </m:fPr>
                      <m:num>
                        <m:r>
                          <m:rPr/>
                          <w:rPr>
                            <w:rFonts w:ascii="Cambria Math" w:hAnsi="Cambria Math" w:cs="Times New Roman"/>
                            <w:color w:val="000000" w:themeColor="text1"/>
                            <w:szCs w:val="21"/>
                          </w:rPr>
                          <m:t>P(c)</m:t>
                        </m:r>
                        <m:ctrlPr>
                          <w:rPr>
                            <w:rFonts w:ascii="Cambria Math" w:hAnsi="Cambria Math" w:cs="Times New Roman"/>
                            <w:i/>
                            <w:color w:val="000000" w:themeColor="text1"/>
                            <w:szCs w:val="21"/>
                          </w:rPr>
                        </m:ctrlPr>
                      </m:num>
                      <m:den>
                        <m:r>
                          <m:rPr/>
                          <w:rPr>
                            <w:rFonts w:ascii="Cambria Math" w:hAnsi="Cambria Math" w:cs="Times New Roman"/>
                            <w:color w:val="000000" w:themeColor="text1"/>
                            <w:szCs w:val="21"/>
                          </w:rPr>
                          <m:t>1−p(class(x))</m:t>
                        </m:r>
                        <m:ctrlPr>
                          <w:rPr>
                            <w:rFonts w:ascii="Cambria Math" w:hAnsi="Cambria Math" w:cs="Times New Roman"/>
                            <w:i/>
                            <w:color w:val="000000" w:themeColor="text1"/>
                            <w:szCs w:val="21"/>
                          </w:rPr>
                        </m:ctrlPr>
                      </m:den>
                    </m:f>
                    <m:nary>
                      <m:naryPr>
                        <m:chr m:val="∑"/>
                        <m:limLoc m:val="undOvr"/>
                        <m:ctrlPr>
                          <w:rPr>
                            <w:rFonts w:ascii="Cambria Math" w:hAnsi="Cambria Math" w:cs="Times New Roman"/>
                            <w:i/>
                            <w:color w:val="000000" w:themeColor="text1"/>
                            <w:szCs w:val="21"/>
                          </w:rPr>
                        </m:ctrlPr>
                      </m:naryPr>
                      <m:sub>
                        <m:r>
                          <m:rPr/>
                          <w:rPr>
                            <w:rFonts w:ascii="Cambria Math" w:hAnsi="Cambria Math" w:cs="Times New Roman"/>
                            <w:color w:val="000000" w:themeColor="text1"/>
                            <w:szCs w:val="21"/>
                          </w:rPr>
                          <m:t>j=1</m:t>
                        </m:r>
                        <m:ctrlPr>
                          <w:rPr>
                            <w:rFonts w:ascii="Cambria Math" w:hAnsi="Cambria Math" w:cs="Times New Roman"/>
                            <w:i/>
                            <w:color w:val="000000" w:themeColor="text1"/>
                            <w:szCs w:val="21"/>
                          </w:rPr>
                        </m:ctrlPr>
                      </m:sub>
                      <m:sup>
                        <m:r>
                          <m:rPr/>
                          <w:rPr>
                            <w:rFonts w:ascii="Cambria Math" w:hAnsi="Cambria Math" w:cs="Times New Roman"/>
                            <w:color w:val="000000" w:themeColor="text1"/>
                            <w:szCs w:val="21"/>
                          </w:rPr>
                          <m:t>k</m:t>
                        </m:r>
                        <m:ctrlPr>
                          <w:rPr>
                            <w:rFonts w:ascii="Cambria Math" w:hAnsi="Cambria Math" w:cs="Times New Roman"/>
                            <w:i/>
                            <w:color w:val="000000" w:themeColor="text1"/>
                            <w:szCs w:val="21"/>
                          </w:rPr>
                        </m:ctrlPr>
                      </m:sup>
                      <m:e>
                        <m:sSub>
                          <m:sSubPr>
                            <m:ctrlPr>
                              <w:rPr>
                                <w:rFonts w:ascii="Cambria Math" w:hAnsi="Cambria Math" w:cs="Times New Roman"/>
                                <w:i/>
                                <w:color w:val="000000" w:themeColor="text1"/>
                                <w:szCs w:val="21"/>
                              </w:rPr>
                            </m:ctrlPr>
                          </m:sSubPr>
                          <m:e>
                            <m:r>
                              <m:rPr/>
                              <w:rPr>
                                <w:rFonts w:ascii="Cambria Math" w:hAnsi="Cambria Math" w:cs="Times New Roman"/>
                                <w:color w:val="000000" w:themeColor="text1"/>
                                <w:szCs w:val="21"/>
                              </w:rPr>
                              <m:t>diff</m:t>
                            </m:r>
                            <m:ctrlPr>
                              <w:rPr>
                                <w:rFonts w:ascii="Cambria Math" w:hAnsi="Cambria Math" w:cs="Times New Roman"/>
                                <w:i/>
                                <w:color w:val="000000" w:themeColor="text1"/>
                                <w:szCs w:val="21"/>
                              </w:rPr>
                            </m:ctrlPr>
                          </m:e>
                          <m:sub>
                            <m:r>
                              <m:rPr/>
                              <w:rPr>
                                <w:rFonts w:ascii="Cambria Math" w:hAnsi="Cambria Math" w:cs="Times New Roman"/>
                                <w:color w:val="000000" w:themeColor="text1"/>
                                <w:szCs w:val="21"/>
                              </w:rPr>
                              <m:t>a</m:t>
                            </m:r>
                            <m:ctrlPr>
                              <w:rPr>
                                <w:rFonts w:ascii="Cambria Math" w:hAnsi="Cambria Math" w:cs="Times New Roman"/>
                                <w:i/>
                                <w:color w:val="000000" w:themeColor="text1"/>
                                <w:szCs w:val="21"/>
                              </w:rPr>
                            </m:ctrlPr>
                          </m:sub>
                        </m:sSub>
                        <m:r>
                          <m:rPr/>
                          <w:rPr>
                            <w:rFonts w:ascii="Cambria Math" w:hAnsi="Cambria Math" w:cs="Times New Roman"/>
                            <w:color w:val="000000" w:themeColor="text1"/>
                            <w:szCs w:val="21"/>
                          </w:rPr>
                          <m:t>(x,M(x))</m:t>
                        </m:r>
                        <m:ctrlPr>
                          <w:rPr>
                            <w:rFonts w:ascii="Cambria Math" w:hAnsi="Cambria Math" w:cs="Times New Roman"/>
                            <w:i/>
                            <w:color w:val="000000" w:themeColor="text1"/>
                            <w:szCs w:val="21"/>
                          </w:rPr>
                        </m:ctrlPr>
                      </m:e>
                    </m:nary>
                    <m:ctrlPr>
                      <w:rPr>
                        <w:rFonts w:ascii="Cambria Math" w:hAnsi="Cambria Math" w:cs="Times New Roman"/>
                        <w:i/>
                        <w:color w:val="000000" w:themeColor="text1"/>
                        <w:szCs w:val="21"/>
                      </w:rPr>
                    </m:ctrlPr>
                  </m:num>
                  <m:den>
                    <m:r>
                      <m:rPr/>
                      <w:rPr>
                        <w:rFonts w:ascii="Cambria Math" w:hAnsi="Cambria Math" w:cs="Times New Roman"/>
                        <w:color w:val="000000" w:themeColor="text1"/>
                        <w:szCs w:val="21"/>
                      </w:rPr>
                      <m:t>m×k</m:t>
                    </m:r>
                    <m:ctrlPr>
                      <w:rPr>
                        <w:rFonts w:ascii="Cambria Math" w:hAnsi="Cambria Math" w:cs="Times New Roman"/>
                        <w:i/>
                        <w:color w:val="000000" w:themeColor="text1"/>
                        <w:szCs w:val="21"/>
                      </w:rPr>
                    </m:ctrlPr>
                  </m:den>
                </m:f>
                <m:ctrlPr>
                  <w:rPr>
                    <w:rFonts w:ascii="Cambria Math" w:hAnsi="Cambria Math" w:cs="Times New Roman"/>
                    <w:i/>
                    <w:color w:val="000000" w:themeColor="text1"/>
                    <w:szCs w:val="21"/>
                  </w:rPr>
                </m:ctrlPr>
              </m:e>
            </m:nary>
            <m:ctrlPr>
              <w:rPr>
                <w:rFonts w:ascii="Cambria Math" w:hAnsi="Cambria Math" w:cs="Times New Roman"/>
                <w:i/>
                <w:color w:val="000000" w:themeColor="text1"/>
                <w:szCs w:val="21"/>
              </w:rPr>
            </m:ctrlPr>
          </m:e>
        </m:nary>
      </m:oMath>
      <w:r>
        <w:rPr>
          <w:rFonts w:cs="Times New Roman"/>
          <w:color w:val="000000" w:themeColor="text1"/>
          <w:szCs w:val="21"/>
        </w:rPr>
        <w:t>（1）</w:t>
      </w:r>
    </w:p>
    <w:p w14:paraId="4D0AB406">
      <w:pPr>
        <w:spacing w:line="380" w:lineRule="exact"/>
        <w:ind w:firstLine="0" w:firstLineChars="0"/>
      </w:pPr>
      <w:r>
        <w:t>式中：</w:t>
      </w:r>
      <m:oMath>
        <m:sSub>
          <m:sSubPr>
            <m:ctrlPr>
              <w:rPr>
                <w:rFonts w:ascii="Cambria Math" w:hAnsi="Cambria Math"/>
                <w:i/>
                <w:iCs/>
              </w:rPr>
            </m:ctrlPr>
          </m:sSubPr>
          <m:e>
            <m:r>
              <m:rPr/>
              <w:rPr>
                <w:rFonts w:ascii="Cambria Math" w:hAnsi="Cambria Math"/>
              </w:rPr>
              <m:t>diff</m:t>
            </m:r>
            <m:ctrlPr>
              <w:rPr>
                <w:rFonts w:ascii="Cambria Math" w:hAnsi="Cambria Math"/>
                <w:i/>
                <w:iCs/>
              </w:rPr>
            </m:ctrlPr>
          </m:e>
          <m:sub>
            <m:r>
              <m:rPr/>
              <w:rPr>
                <w:rFonts w:ascii="Cambria Math" w:hAnsi="Cambria Math"/>
              </w:rPr>
              <m:t>a</m:t>
            </m:r>
            <m:ctrlPr>
              <w:rPr>
                <w:rFonts w:ascii="Cambria Math" w:hAnsi="Cambria Math"/>
                <w:i/>
                <w:iCs/>
              </w:rPr>
            </m:ctrlPr>
          </m:sub>
        </m:sSub>
      </m:oMath>
      <w:r>
        <w:t>表示在特征</w:t>
      </w:r>
      <w:r>
        <w:rPr>
          <w:i/>
        </w:rPr>
        <w:t>a</w:t>
      </w:r>
      <w:r>
        <w:t>上</w:t>
      </w:r>
      <w:r>
        <w:rPr>
          <w:rFonts w:hint="eastAsia"/>
        </w:rPr>
        <w:t>不同样本间的距离，</w:t>
      </w:r>
      <w:r>
        <w:t>本文采用欧几里德范数表示；</w:t>
      </w:r>
      <m:oMath>
        <m:r>
          <m:rPr/>
          <w:rPr>
            <w:rFonts w:ascii="Cambria Math" w:hAnsi="Cambria Math" w:cs="Times New Roman"/>
            <w:color w:val="000000" w:themeColor="text1"/>
            <w:szCs w:val="21"/>
          </w:rPr>
          <m:t>H</m:t>
        </m:r>
        <m:d>
          <m:dPr>
            <m:ctrlPr>
              <w:rPr>
                <w:rFonts w:ascii="Cambria Math" w:hAnsi="Cambria Math" w:cs="Times New Roman"/>
                <w:i/>
                <w:iCs/>
                <w:color w:val="000000" w:themeColor="text1"/>
                <w:szCs w:val="21"/>
              </w:rPr>
            </m:ctrlPr>
          </m:dPr>
          <m:e>
            <m:r>
              <m:rPr/>
              <w:rPr>
                <w:rFonts w:ascii="Cambria Math" w:hAnsi="Cambria Math" w:cs="Times New Roman"/>
                <w:color w:val="000000" w:themeColor="text1"/>
                <w:szCs w:val="21"/>
              </w:rPr>
              <m:t>x</m:t>
            </m:r>
            <m:ctrlPr>
              <w:rPr>
                <w:rFonts w:ascii="Cambria Math" w:hAnsi="Cambria Math" w:cs="Times New Roman"/>
                <w:i/>
                <w:iCs/>
                <w:color w:val="000000" w:themeColor="text1"/>
                <w:szCs w:val="21"/>
              </w:rPr>
            </m:ctrlPr>
          </m:e>
        </m:d>
        <m:r>
          <m:rPr>
            <m:sty m:val="p"/>
          </m:rPr>
          <w:rPr>
            <w:rFonts w:hint="eastAsia" w:ascii="Cambria Math" w:hAnsi="Cambria Math" w:cs="Times New Roman"/>
            <w:color w:val="000000" w:themeColor="text1"/>
            <w:szCs w:val="21"/>
          </w:rPr>
          <m:t>和</m:t>
        </m:r>
        <m:r>
          <m:rPr/>
          <w:rPr>
            <w:rFonts w:ascii="Cambria Math" w:hAnsi="Cambria Math" w:cs="Times New Roman"/>
            <w:color w:val="000000" w:themeColor="text1"/>
            <w:szCs w:val="21"/>
          </w:rPr>
          <m:t>M(x)</m:t>
        </m:r>
      </m:oMath>
      <w:r>
        <w:rPr>
          <w:rFonts w:hint="eastAsia" w:cs="Times New Roman"/>
          <w:color w:val="000000" w:themeColor="text1"/>
          <w:szCs w:val="21"/>
        </w:rPr>
        <w:t>分别表示与</w:t>
      </w:r>
      <m:oMath>
        <m:r>
          <m:rPr/>
          <w:rPr>
            <w:rFonts w:hint="eastAsia" w:ascii="Cambria Math" w:hAnsi="Cambria Math" w:cs="Times New Roman"/>
            <w:color w:val="000000" w:themeColor="text1"/>
            <w:szCs w:val="21"/>
          </w:rPr>
          <m:t>x</m:t>
        </m:r>
      </m:oMath>
      <w:r>
        <w:rPr>
          <w:rFonts w:hint="eastAsia" w:cs="Times New Roman"/>
          <w:color w:val="000000" w:themeColor="text1"/>
          <w:szCs w:val="21"/>
        </w:rPr>
        <w:t>的同类和异类样本集中的最近邻样本；</w:t>
      </w:r>
      <m:oMath>
        <m:r>
          <m:rPr/>
          <w:rPr>
            <w:rFonts w:ascii="Cambria Math" w:hAnsi="Cambria Math" w:cs="Times New Roman"/>
            <w:color w:val="000000" w:themeColor="text1"/>
            <w:szCs w:val="21"/>
          </w:rPr>
          <m:t>P</m:t>
        </m:r>
      </m:oMath>
      <w:r>
        <w:t>表示类的概率，本文简化该项为</w:t>
      </w:r>
      <m:oMath>
        <m:r>
          <m:rPr/>
          <w:rPr>
            <w:rFonts w:hint="eastAsia" w:ascii="Cambria Math" w:hAnsi="Cambria Math"/>
          </w:rPr>
          <m:t>1/</m:t>
        </m:r>
        <m:r>
          <m:rPr/>
          <w:rPr>
            <w:rFonts w:ascii="Cambria Math" w:hAnsi="Cambria Math"/>
          </w:rPr>
          <m:t>(N−1)</m:t>
        </m:r>
      </m:oMath>
      <w:r>
        <w:t>，</w:t>
      </w:r>
      <m:oMath>
        <m:r>
          <m:rPr/>
          <w:rPr>
            <w:rFonts w:ascii="Cambria Math" w:hAnsi="Cambria Math"/>
          </w:rPr>
          <m:t>N</m:t>
        </m:r>
      </m:oMath>
      <w:r>
        <w:t>为样本类别数；</w:t>
      </w:r>
      <w:r>
        <w:rPr>
          <w:i/>
        </w:rPr>
        <w:t>m</w:t>
      </w:r>
      <w:r>
        <w:t>表示抽取样本次数；</w:t>
      </w:r>
      <m:oMath>
        <m:r>
          <m:rPr/>
          <w:rPr>
            <w:rFonts w:ascii="Cambria Math" w:hAnsi="Cambria Math"/>
          </w:rPr>
          <m:t>k</m:t>
        </m:r>
      </m:oMath>
      <w:r>
        <w:t>为最近邻样本个数。</w:t>
      </w:r>
    </w:p>
    <w:p w14:paraId="7C550B0C">
      <w:pPr>
        <w:tabs>
          <w:tab w:val="left" w:pos="360"/>
        </w:tabs>
        <w:spacing w:line="320" w:lineRule="exact"/>
        <w:ind w:firstLine="420"/>
        <w:rPr>
          <w:rFonts w:eastAsia="方正书宋简体"/>
        </w:rPr>
      </w:pPr>
      <w:r>
        <w:rPr>
          <w:rFonts w:hint="eastAsia" w:eastAsia="方正书宋简体"/>
        </w:rPr>
        <w:t>（2）表格要求</w:t>
      </w:r>
    </w:p>
    <w:p w14:paraId="58BA52EB">
      <w:pPr>
        <w:tabs>
          <w:tab w:val="left" w:pos="360"/>
        </w:tabs>
        <w:spacing w:line="320" w:lineRule="exact"/>
        <w:ind w:firstLine="420"/>
        <w:rPr>
          <w:rFonts w:eastAsia="方正书宋简体"/>
          <w:b/>
          <w:bCs/>
          <w:color w:val="FF0000"/>
          <w:sz w:val="18"/>
        </w:rPr>
      </w:pPr>
      <w:r>
        <w:rPr>
          <w:rFonts w:hint="eastAsia" w:eastAsia="方正书宋简体"/>
          <w:color w:val="FF0000"/>
        </w:rPr>
        <w:t>表格采用三线表形式, 上下线为1磅, 次线为0.5磅, 表中字号为6号宋体，中、英文表名字号如表1，2。物理量应注明国际标准单位。</w:t>
      </w:r>
    </w:p>
    <w:p w14:paraId="35BCF115">
      <w:pPr>
        <w:spacing w:line="360" w:lineRule="exact"/>
        <w:ind w:firstLine="360"/>
        <w:jc w:val="center"/>
        <w:rPr>
          <w:rFonts w:eastAsia="黑体" w:cs="Times New Roman"/>
          <w:sz w:val="18"/>
          <w:szCs w:val="18"/>
        </w:rPr>
      </w:pPr>
      <w:r>
        <w:rPr>
          <w:rFonts w:eastAsia="黑体" w:cs="Times New Roman"/>
          <w:sz w:val="18"/>
          <w:szCs w:val="18"/>
        </w:rPr>
        <w:t>表1  滑坡稳定性计算参数</w:t>
      </w:r>
    </w:p>
    <w:p w14:paraId="515296D4">
      <w:pPr>
        <w:spacing w:line="240" w:lineRule="exact"/>
        <w:ind w:firstLine="360"/>
        <w:jc w:val="center"/>
        <w:rPr>
          <w:rFonts w:eastAsia="黑体" w:cs="Times New Roman"/>
          <w:sz w:val="18"/>
        </w:rPr>
      </w:pPr>
      <w:r>
        <w:rPr>
          <w:rFonts w:eastAsia="黑体" w:cs="Times New Roman"/>
          <w:sz w:val="18"/>
        </w:rPr>
        <w:t>Tab.1  Calculation parameter of landslide stability</w:t>
      </w:r>
    </w:p>
    <w:tbl>
      <w:tblPr>
        <w:tblStyle w:val="12"/>
        <w:tblW w:w="0" w:type="auto"/>
        <w:tblInd w:w="108"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4"/>
        <w:gridCol w:w="1182"/>
        <w:gridCol w:w="1131"/>
        <w:gridCol w:w="1416"/>
        <w:gridCol w:w="243"/>
        <w:gridCol w:w="1287"/>
        <w:gridCol w:w="1136"/>
        <w:gridCol w:w="1135"/>
      </w:tblGrid>
      <w:tr w14:paraId="0E43D8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 w:hRule="atLeast"/>
        </w:trPr>
        <w:tc>
          <w:tcPr>
            <w:tcW w:w="943" w:type="dxa"/>
            <w:vMerge w:val="restart"/>
            <w:tcBorders>
              <w:top w:val="single" w:color="auto" w:sz="12" w:space="0"/>
              <w:bottom w:val="nil"/>
            </w:tcBorders>
            <w:vAlign w:val="center"/>
          </w:tcPr>
          <w:p w14:paraId="4EF7FC38">
            <w:pPr>
              <w:spacing w:line="240" w:lineRule="exact"/>
              <w:ind w:firstLine="199" w:firstLineChars="133"/>
              <w:rPr>
                <w:rFonts w:cs="Times New Roman"/>
                <w:sz w:val="15"/>
                <w:szCs w:val="15"/>
              </w:rPr>
            </w:pPr>
            <w:r>
              <w:rPr>
                <w:rFonts w:hint="eastAsia" w:cs="Times New Roman"/>
                <w:sz w:val="15"/>
                <w:szCs w:val="15"/>
              </w:rPr>
              <w:t>材料</w:t>
            </w:r>
          </w:p>
        </w:tc>
        <w:tc>
          <w:tcPr>
            <w:tcW w:w="3456" w:type="dxa"/>
            <w:gridSpan w:val="3"/>
            <w:tcBorders>
              <w:top w:val="single" w:color="auto" w:sz="12" w:space="0"/>
              <w:bottom w:val="single" w:color="auto" w:sz="2" w:space="0"/>
            </w:tcBorders>
            <w:vAlign w:val="center"/>
          </w:tcPr>
          <w:p w14:paraId="05E86EE0">
            <w:pPr>
              <w:spacing w:line="240" w:lineRule="exact"/>
              <w:ind w:firstLine="300"/>
              <w:jc w:val="center"/>
              <w:rPr>
                <w:rFonts w:cs="Times New Roman"/>
                <w:sz w:val="15"/>
                <w:szCs w:val="15"/>
              </w:rPr>
            </w:pPr>
            <w:r>
              <w:rPr>
                <w:rFonts w:hint="eastAsia" w:cs="Times New Roman"/>
                <w:sz w:val="15"/>
                <w:szCs w:val="15"/>
              </w:rPr>
              <w:t>天然</w:t>
            </w:r>
          </w:p>
        </w:tc>
        <w:tc>
          <w:tcPr>
            <w:tcW w:w="248" w:type="dxa"/>
            <w:tcBorders>
              <w:top w:val="single" w:color="auto" w:sz="12" w:space="0"/>
              <w:bottom w:val="nil"/>
            </w:tcBorders>
          </w:tcPr>
          <w:p w14:paraId="18FA81E9">
            <w:pPr>
              <w:spacing w:line="240" w:lineRule="exact"/>
              <w:ind w:firstLine="300"/>
              <w:jc w:val="center"/>
              <w:rPr>
                <w:rFonts w:cs="Times New Roman"/>
                <w:sz w:val="15"/>
                <w:szCs w:val="15"/>
              </w:rPr>
            </w:pPr>
          </w:p>
        </w:tc>
        <w:tc>
          <w:tcPr>
            <w:tcW w:w="3551" w:type="dxa"/>
            <w:gridSpan w:val="3"/>
            <w:tcBorders>
              <w:top w:val="single" w:color="auto" w:sz="12" w:space="0"/>
              <w:bottom w:val="single" w:color="auto" w:sz="2" w:space="0"/>
            </w:tcBorders>
            <w:vAlign w:val="center"/>
          </w:tcPr>
          <w:p w14:paraId="2E39BAF6">
            <w:pPr>
              <w:spacing w:line="240" w:lineRule="exact"/>
              <w:ind w:firstLine="300"/>
              <w:jc w:val="center"/>
              <w:rPr>
                <w:rFonts w:cs="Times New Roman"/>
                <w:sz w:val="15"/>
                <w:szCs w:val="15"/>
              </w:rPr>
            </w:pPr>
            <w:r>
              <w:rPr>
                <w:rFonts w:hint="eastAsia" w:cs="Times New Roman"/>
                <w:sz w:val="15"/>
                <w:szCs w:val="15"/>
              </w:rPr>
              <w:t>饱和</w:t>
            </w:r>
          </w:p>
        </w:tc>
      </w:tr>
      <w:tr w14:paraId="74A494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trPr>
        <w:tc>
          <w:tcPr>
            <w:tcW w:w="943" w:type="dxa"/>
            <w:vMerge w:val="continue"/>
            <w:tcBorders>
              <w:top w:val="nil"/>
              <w:bottom w:val="single" w:color="auto" w:sz="2" w:space="0"/>
            </w:tcBorders>
            <w:vAlign w:val="center"/>
          </w:tcPr>
          <w:p w14:paraId="189C0382">
            <w:pPr>
              <w:spacing w:line="240" w:lineRule="exact"/>
              <w:ind w:firstLine="300"/>
              <w:jc w:val="center"/>
              <w:rPr>
                <w:rFonts w:cs="Times New Roman"/>
                <w:sz w:val="15"/>
                <w:szCs w:val="15"/>
              </w:rPr>
            </w:pPr>
          </w:p>
        </w:tc>
        <w:tc>
          <w:tcPr>
            <w:tcW w:w="1093" w:type="dxa"/>
            <w:tcBorders>
              <w:top w:val="nil"/>
              <w:bottom w:val="single" w:color="auto" w:sz="2" w:space="0"/>
            </w:tcBorders>
            <w:vAlign w:val="center"/>
          </w:tcPr>
          <w:p w14:paraId="0F21E33F">
            <w:pPr>
              <w:spacing w:line="240" w:lineRule="exact"/>
              <w:ind w:firstLine="348" w:firstLineChars="232"/>
              <w:rPr>
                <w:sz w:val="15"/>
                <w:szCs w:val="15"/>
              </w:rPr>
            </w:pPr>
            <w:r>
              <w:rPr>
                <w:rFonts w:cs="Times New Roman"/>
                <w:sz w:val="15"/>
                <w:szCs w:val="15"/>
              </w:rPr>
              <w:t>容重</w:t>
            </w:r>
            <w:r>
              <w:rPr>
                <w:rFonts w:hint="eastAsia" w:cs="Times New Roman"/>
                <w:sz w:val="15"/>
                <w:szCs w:val="15"/>
              </w:rPr>
              <w:t>/</w:t>
            </w:r>
          </w:p>
          <w:p w14:paraId="4F4C66DB">
            <w:pPr>
              <w:spacing w:line="240" w:lineRule="exact"/>
              <w:ind w:firstLine="150" w:firstLineChars="100"/>
              <w:rPr>
                <w:rFonts w:cs="Times New Roman"/>
                <w:sz w:val="15"/>
                <w:szCs w:val="15"/>
              </w:rPr>
            </w:pPr>
            <w:r>
              <w:rPr>
                <w:rFonts w:hint="eastAsia"/>
                <w:sz w:val="15"/>
                <w:szCs w:val="15"/>
              </w:rPr>
              <w:t>（</w:t>
            </w:r>
            <w:r>
              <w:rPr>
                <w:sz w:val="15"/>
                <w:szCs w:val="15"/>
              </w:rPr>
              <w:t>k</w:t>
            </w:r>
            <w:r>
              <w:rPr>
                <w:rFonts w:cs="Times New Roman"/>
                <w:sz w:val="15"/>
                <w:szCs w:val="15"/>
              </w:rPr>
              <w:t>N</w:t>
            </w:r>
            <w:r>
              <w:rPr>
                <w:rFonts w:hint="eastAsia" w:ascii="宋体" w:hAnsi="宋体" w:cs="Times New Roman"/>
                <w:sz w:val="15"/>
                <w:szCs w:val="15"/>
              </w:rPr>
              <w:t>•</w:t>
            </w:r>
            <w:r>
              <w:rPr>
                <w:rFonts w:cs="Times New Roman"/>
                <w:sz w:val="15"/>
                <w:szCs w:val="15"/>
              </w:rPr>
              <w:t>m</w:t>
            </w:r>
            <w:r>
              <w:rPr>
                <w:rFonts w:hint="eastAsia" w:cs="Times New Roman"/>
                <w:sz w:val="15"/>
                <w:szCs w:val="15"/>
                <w:vertAlign w:val="superscript"/>
              </w:rPr>
              <w:t>-3</w:t>
            </w:r>
            <w:r>
              <w:rPr>
                <w:rFonts w:hint="eastAsia"/>
                <w:sz w:val="15"/>
                <w:szCs w:val="15"/>
              </w:rPr>
              <w:t>）</w:t>
            </w:r>
          </w:p>
        </w:tc>
        <w:tc>
          <w:tcPr>
            <w:tcW w:w="1187" w:type="dxa"/>
            <w:tcBorders>
              <w:top w:val="nil"/>
              <w:bottom w:val="single" w:color="auto" w:sz="2" w:space="0"/>
            </w:tcBorders>
            <w:vAlign w:val="center"/>
          </w:tcPr>
          <w:p w14:paraId="3860EA81">
            <w:pPr>
              <w:spacing w:line="240" w:lineRule="exact"/>
              <w:ind w:firstLine="300"/>
              <w:jc w:val="center"/>
              <w:rPr>
                <w:rFonts w:cs="Times New Roman"/>
                <w:sz w:val="15"/>
                <w:szCs w:val="15"/>
              </w:rPr>
            </w:pPr>
            <w:r>
              <w:rPr>
                <w:rFonts w:cs="Times New Roman"/>
                <w:sz w:val="15"/>
                <w:szCs w:val="15"/>
              </w:rPr>
              <w:t>粘聚</w:t>
            </w:r>
            <w:r>
              <w:rPr>
                <w:rFonts w:hint="eastAsia" w:cs="Times New Roman"/>
                <w:sz w:val="15"/>
                <w:szCs w:val="15"/>
              </w:rPr>
              <w:t>/</w:t>
            </w:r>
            <w:r>
              <w:rPr>
                <w:rFonts w:cs="Times New Roman"/>
                <w:sz w:val="15"/>
                <w:szCs w:val="15"/>
              </w:rPr>
              <w:t>kPa</w:t>
            </w:r>
          </w:p>
        </w:tc>
        <w:tc>
          <w:tcPr>
            <w:tcW w:w="1176" w:type="dxa"/>
            <w:tcBorders>
              <w:top w:val="single" w:color="auto" w:sz="2" w:space="0"/>
              <w:bottom w:val="single" w:color="auto" w:sz="2" w:space="0"/>
            </w:tcBorders>
            <w:vAlign w:val="center"/>
          </w:tcPr>
          <w:p w14:paraId="3713CCD2">
            <w:pPr>
              <w:spacing w:line="240" w:lineRule="exact"/>
              <w:ind w:left="810" w:leftChars="100" w:hanging="600" w:hangingChars="400"/>
              <w:rPr>
                <w:rFonts w:cs="Times New Roman"/>
                <w:sz w:val="15"/>
                <w:szCs w:val="15"/>
              </w:rPr>
            </w:pPr>
            <w:r>
              <w:rPr>
                <w:rFonts w:cs="Times New Roman"/>
                <w:sz w:val="15"/>
                <w:szCs w:val="15"/>
              </w:rPr>
              <w:t>内摩擦</w:t>
            </w:r>
            <w:r>
              <w:rPr>
                <w:rFonts w:hint="eastAsia" w:cs="Times New Roman"/>
                <w:sz w:val="15"/>
                <w:szCs w:val="15"/>
              </w:rPr>
              <w:t>角/</w:t>
            </w:r>
            <w:r>
              <w:rPr>
                <w:rFonts w:cs="Times New Roman"/>
                <w:sz w:val="15"/>
                <w:szCs w:val="15"/>
              </w:rPr>
              <w:t>°</w:t>
            </w:r>
          </w:p>
        </w:tc>
        <w:tc>
          <w:tcPr>
            <w:tcW w:w="248" w:type="dxa"/>
            <w:tcBorders>
              <w:top w:val="nil"/>
              <w:bottom w:val="single" w:color="auto" w:sz="2" w:space="0"/>
            </w:tcBorders>
          </w:tcPr>
          <w:p w14:paraId="7AA022C8">
            <w:pPr>
              <w:spacing w:line="240" w:lineRule="exact"/>
              <w:ind w:firstLine="300"/>
              <w:jc w:val="center"/>
              <w:rPr>
                <w:rFonts w:cs="Times New Roman"/>
                <w:sz w:val="15"/>
                <w:szCs w:val="15"/>
              </w:rPr>
            </w:pPr>
          </w:p>
        </w:tc>
        <w:tc>
          <w:tcPr>
            <w:tcW w:w="1167" w:type="dxa"/>
            <w:tcBorders>
              <w:top w:val="single" w:color="auto" w:sz="2" w:space="0"/>
              <w:bottom w:val="single" w:color="auto" w:sz="2" w:space="0"/>
            </w:tcBorders>
            <w:vAlign w:val="center"/>
          </w:tcPr>
          <w:p w14:paraId="0AF290D6">
            <w:pPr>
              <w:spacing w:line="240" w:lineRule="exact"/>
              <w:ind w:firstLine="423" w:firstLineChars="282"/>
              <w:rPr>
                <w:sz w:val="15"/>
                <w:szCs w:val="15"/>
              </w:rPr>
            </w:pPr>
            <w:r>
              <w:rPr>
                <w:rFonts w:cs="Times New Roman"/>
                <w:sz w:val="15"/>
                <w:szCs w:val="15"/>
              </w:rPr>
              <w:t>容重</w:t>
            </w:r>
            <w:r>
              <w:rPr>
                <w:rFonts w:hint="eastAsia" w:cs="Times New Roman"/>
                <w:sz w:val="15"/>
                <w:szCs w:val="15"/>
              </w:rPr>
              <w:t>/</w:t>
            </w:r>
          </w:p>
          <w:p w14:paraId="03810059">
            <w:pPr>
              <w:spacing w:line="240" w:lineRule="exact"/>
              <w:ind w:firstLine="225" w:firstLineChars="150"/>
              <w:rPr>
                <w:rFonts w:cs="Times New Roman"/>
                <w:sz w:val="15"/>
                <w:szCs w:val="15"/>
              </w:rPr>
            </w:pPr>
            <w:r>
              <w:rPr>
                <w:rFonts w:hint="eastAsia"/>
                <w:sz w:val="15"/>
                <w:szCs w:val="15"/>
              </w:rPr>
              <w:t>（k</w:t>
            </w:r>
            <w:r>
              <w:rPr>
                <w:rFonts w:cs="Times New Roman"/>
                <w:sz w:val="15"/>
                <w:szCs w:val="15"/>
              </w:rPr>
              <w:t>N</w:t>
            </w:r>
            <w:r>
              <w:rPr>
                <w:rFonts w:hint="eastAsia" w:ascii="宋体" w:hAnsi="宋体" w:cs="Times New Roman"/>
                <w:sz w:val="15"/>
                <w:szCs w:val="15"/>
              </w:rPr>
              <w:t>•</w:t>
            </w:r>
            <w:r>
              <w:rPr>
                <w:rFonts w:cs="Times New Roman"/>
                <w:sz w:val="15"/>
                <w:szCs w:val="15"/>
              </w:rPr>
              <w:t>m</w:t>
            </w:r>
            <w:r>
              <w:rPr>
                <w:rFonts w:hint="eastAsia" w:cs="Times New Roman"/>
                <w:sz w:val="15"/>
                <w:szCs w:val="15"/>
                <w:vertAlign w:val="superscript"/>
              </w:rPr>
              <w:t>-3</w:t>
            </w:r>
            <w:r>
              <w:rPr>
                <w:rFonts w:hint="eastAsia"/>
                <w:sz w:val="15"/>
                <w:szCs w:val="15"/>
              </w:rPr>
              <w:t>）</w:t>
            </w:r>
          </w:p>
        </w:tc>
        <w:tc>
          <w:tcPr>
            <w:tcW w:w="1192" w:type="dxa"/>
            <w:tcBorders>
              <w:top w:val="single" w:color="auto" w:sz="2" w:space="0"/>
              <w:bottom w:val="single" w:color="auto" w:sz="2" w:space="0"/>
            </w:tcBorders>
            <w:vAlign w:val="center"/>
          </w:tcPr>
          <w:p w14:paraId="54F78AF0">
            <w:pPr>
              <w:spacing w:line="240" w:lineRule="exact"/>
              <w:ind w:firstLine="300"/>
              <w:jc w:val="center"/>
              <w:rPr>
                <w:rFonts w:cs="Times New Roman"/>
                <w:sz w:val="15"/>
                <w:szCs w:val="15"/>
              </w:rPr>
            </w:pPr>
            <w:r>
              <w:rPr>
                <w:rFonts w:cs="Times New Roman"/>
                <w:sz w:val="15"/>
                <w:szCs w:val="15"/>
              </w:rPr>
              <w:t>粘聚力</w:t>
            </w:r>
          </w:p>
          <w:p w14:paraId="789DD718">
            <w:pPr>
              <w:spacing w:line="240" w:lineRule="exact"/>
              <w:ind w:firstLine="300"/>
              <w:jc w:val="center"/>
              <w:rPr>
                <w:rFonts w:cs="Times New Roman"/>
                <w:sz w:val="15"/>
                <w:szCs w:val="15"/>
              </w:rPr>
            </w:pPr>
            <w:r>
              <w:rPr>
                <w:rFonts w:hint="eastAsia" w:cs="Times New Roman"/>
                <w:sz w:val="15"/>
                <w:szCs w:val="15"/>
              </w:rPr>
              <w:t>/</w:t>
            </w:r>
            <w:r>
              <w:rPr>
                <w:rFonts w:cs="Times New Roman"/>
                <w:sz w:val="15"/>
                <w:szCs w:val="15"/>
              </w:rPr>
              <w:t>kPa</w:t>
            </w:r>
          </w:p>
        </w:tc>
        <w:tc>
          <w:tcPr>
            <w:tcW w:w="1192" w:type="dxa"/>
            <w:tcBorders>
              <w:top w:val="single" w:color="auto" w:sz="2" w:space="0"/>
              <w:bottom w:val="single" w:color="auto" w:sz="2" w:space="0"/>
            </w:tcBorders>
            <w:vAlign w:val="center"/>
          </w:tcPr>
          <w:p w14:paraId="247DFEAE">
            <w:pPr>
              <w:spacing w:line="240" w:lineRule="exact"/>
              <w:ind w:firstLine="199" w:firstLineChars="133"/>
              <w:rPr>
                <w:rFonts w:cs="Times New Roman"/>
                <w:sz w:val="15"/>
                <w:szCs w:val="15"/>
              </w:rPr>
            </w:pPr>
            <w:r>
              <w:rPr>
                <w:rFonts w:cs="Times New Roman"/>
                <w:sz w:val="15"/>
                <w:szCs w:val="15"/>
              </w:rPr>
              <w:t>内摩擦</w:t>
            </w:r>
            <w:r>
              <w:rPr>
                <w:rFonts w:hint="eastAsia" w:cs="Times New Roman"/>
                <w:sz w:val="15"/>
                <w:szCs w:val="15"/>
              </w:rPr>
              <w:t>角/</w:t>
            </w:r>
            <w:r>
              <w:rPr>
                <w:rFonts w:cs="Times New Roman"/>
                <w:sz w:val="15"/>
                <w:szCs w:val="15"/>
              </w:rPr>
              <w:t>°</w:t>
            </w:r>
          </w:p>
        </w:tc>
      </w:tr>
      <w:tr w14:paraId="67B559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943" w:type="dxa"/>
            <w:tcBorders>
              <w:top w:val="single" w:color="auto" w:sz="2" w:space="0"/>
            </w:tcBorders>
            <w:vAlign w:val="center"/>
          </w:tcPr>
          <w:p w14:paraId="02179AB2">
            <w:pPr>
              <w:spacing w:line="240" w:lineRule="exact"/>
              <w:ind w:firstLine="0" w:firstLineChars="0"/>
              <w:rPr>
                <w:rFonts w:cs="Times New Roman"/>
                <w:sz w:val="15"/>
                <w:szCs w:val="15"/>
              </w:rPr>
            </w:pPr>
            <w:r>
              <w:rPr>
                <w:rFonts w:cs="Times New Roman"/>
                <w:sz w:val="15"/>
                <w:szCs w:val="15"/>
              </w:rPr>
              <w:t>碎石土</w:t>
            </w:r>
          </w:p>
        </w:tc>
        <w:tc>
          <w:tcPr>
            <w:tcW w:w="1093" w:type="dxa"/>
            <w:tcBorders>
              <w:top w:val="single" w:color="auto" w:sz="2" w:space="0"/>
            </w:tcBorders>
            <w:vAlign w:val="center"/>
          </w:tcPr>
          <w:p w14:paraId="7F558286">
            <w:pPr>
              <w:spacing w:line="240" w:lineRule="exact"/>
              <w:ind w:firstLine="300"/>
              <w:rPr>
                <w:rFonts w:cs="Times New Roman"/>
                <w:sz w:val="15"/>
                <w:szCs w:val="15"/>
              </w:rPr>
            </w:pPr>
            <w:r>
              <w:rPr>
                <w:rFonts w:cs="Times New Roman"/>
                <w:sz w:val="15"/>
                <w:szCs w:val="15"/>
              </w:rPr>
              <w:t>19.9</w:t>
            </w:r>
          </w:p>
        </w:tc>
        <w:tc>
          <w:tcPr>
            <w:tcW w:w="1187" w:type="dxa"/>
            <w:tcBorders>
              <w:top w:val="single" w:color="auto" w:sz="2" w:space="0"/>
            </w:tcBorders>
            <w:vAlign w:val="center"/>
          </w:tcPr>
          <w:p w14:paraId="144F9506">
            <w:pPr>
              <w:spacing w:line="240" w:lineRule="exact"/>
              <w:ind w:firstLine="300"/>
              <w:jc w:val="center"/>
              <w:rPr>
                <w:rFonts w:cs="Times New Roman"/>
                <w:sz w:val="15"/>
                <w:szCs w:val="15"/>
              </w:rPr>
            </w:pPr>
            <w:r>
              <w:rPr>
                <w:rFonts w:cs="Times New Roman"/>
                <w:sz w:val="15"/>
                <w:szCs w:val="15"/>
              </w:rPr>
              <w:t>18.8</w:t>
            </w:r>
          </w:p>
        </w:tc>
        <w:tc>
          <w:tcPr>
            <w:tcW w:w="1176" w:type="dxa"/>
            <w:tcBorders>
              <w:top w:val="single" w:color="auto" w:sz="2" w:space="0"/>
            </w:tcBorders>
            <w:vAlign w:val="center"/>
          </w:tcPr>
          <w:p w14:paraId="44E6F422">
            <w:pPr>
              <w:spacing w:line="240" w:lineRule="exact"/>
              <w:ind w:firstLine="300"/>
              <w:jc w:val="center"/>
              <w:rPr>
                <w:rFonts w:cs="Times New Roman"/>
                <w:sz w:val="15"/>
                <w:szCs w:val="15"/>
              </w:rPr>
            </w:pPr>
            <w:r>
              <w:rPr>
                <w:rFonts w:cs="Times New Roman"/>
                <w:sz w:val="15"/>
                <w:szCs w:val="15"/>
              </w:rPr>
              <w:t>17.9</w:t>
            </w:r>
          </w:p>
        </w:tc>
        <w:tc>
          <w:tcPr>
            <w:tcW w:w="248" w:type="dxa"/>
            <w:tcBorders>
              <w:top w:val="single" w:color="auto" w:sz="2" w:space="0"/>
            </w:tcBorders>
          </w:tcPr>
          <w:p w14:paraId="6FFD0FEE">
            <w:pPr>
              <w:spacing w:line="240" w:lineRule="exact"/>
              <w:ind w:firstLine="300"/>
              <w:jc w:val="center"/>
              <w:rPr>
                <w:rFonts w:cs="Times New Roman"/>
                <w:sz w:val="15"/>
                <w:szCs w:val="15"/>
              </w:rPr>
            </w:pPr>
          </w:p>
        </w:tc>
        <w:tc>
          <w:tcPr>
            <w:tcW w:w="1167" w:type="dxa"/>
            <w:tcBorders>
              <w:top w:val="single" w:color="auto" w:sz="2" w:space="0"/>
            </w:tcBorders>
            <w:vAlign w:val="center"/>
          </w:tcPr>
          <w:p w14:paraId="330443B9">
            <w:pPr>
              <w:spacing w:line="240" w:lineRule="exact"/>
              <w:ind w:firstLine="300"/>
              <w:jc w:val="center"/>
              <w:rPr>
                <w:rFonts w:cs="Times New Roman"/>
                <w:sz w:val="15"/>
                <w:szCs w:val="15"/>
              </w:rPr>
            </w:pPr>
            <w:r>
              <w:rPr>
                <w:rFonts w:cs="Times New Roman"/>
                <w:sz w:val="15"/>
                <w:szCs w:val="15"/>
              </w:rPr>
              <w:t>20.9</w:t>
            </w:r>
          </w:p>
        </w:tc>
        <w:tc>
          <w:tcPr>
            <w:tcW w:w="1192" w:type="dxa"/>
            <w:tcBorders>
              <w:top w:val="single" w:color="auto" w:sz="2" w:space="0"/>
            </w:tcBorders>
            <w:vAlign w:val="center"/>
          </w:tcPr>
          <w:p w14:paraId="33701399">
            <w:pPr>
              <w:spacing w:line="240" w:lineRule="exact"/>
              <w:ind w:firstLine="300"/>
              <w:jc w:val="center"/>
              <w:rPr>
                <w:rFonts w:cs="Times New Roman"/>
                <w:sz w:val="15"/>
                <w:szCs w:val="15"/>
              </w:rPr>
            </w:pPr>
            <w:r>
              <w:rPr>
                <w:rFonts w:cs="Times New Roman"/>
                <w:sz w:val="15"/>
                <w:szCs w:val="15"/>
              </w:rPr>
              <w:t>16.5</w:t>
            </w:r>
          </w:p>
        </w:tc>
        <w:tc>
          <w:tcPr>
            <w:tcW w:w="1192" w:type="dxa"/>
            <w:tcBorders>
              <w:top w:val="single" w:color="auto" w:sz="2" w:space="0"/>
            </w:tcBorders>
            <w:vAlign w:val="center"/>
          </w:tcPr>
          <w:p w14:paraId="6F9EC8D2">
            <w:pPr>
              <w:spacing w:line="240" w:lineRule="exact"/>
              <w:ind w:firstLine="300"/>
              <w:jc w:val="center"/>
              <w:rPr>
                <w:rFonts w:cs="Times New Roman"/>
                <w:sz w:val="15"/>
                <w:szCs w:val="15"/>
              </w:rPr>
            </w:pPr>
            <w:r>
              <w:rPr>
                <w:rFonts w:cs="Times New Roman"/>
                <w:sz w:val="15"/>
                <w:szCs w:val="15"/>
              </w:rPr>
              <w:t>15.1</w:t>
            </w:r>
          </w:p>
        </w:tc>
      </w:tr>
      <w:tr w14:paraId="30D1F9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943" w:type="dxa"/>
            <w:vAlign w:val="center"/>
          </w:tcPr>
          <w:p w14:paraId="01B96DDF">
            <w:pPr>
              <w:spacing w:line="240" w:lineRule="exact"/>
              <w:ind w:firstLine="0" w:firstLineChars="0"/>
              <w:rPr>
                <w:rFonts w:cs="Times New Roman"/>
                <w:sz w:val="15"/>
                <w:szCs w:val="15"/>
              </w:rPr>
            </w:pPr>
            <w:r>
              <w:rPr>
                <w:rFonts w:cs="Times New Roman"/>
                <w:sz w:val="15"/>
                <w:szCs w:val="15"/>
              </w:rPr>
              <w:t>粉质黏土</w:t>
            </w:r>
          </w:p>
        </w:tc>
        <w:tc>
          <w:tcPr>
            <w:tcW w:w="1093" w:type="dxa"/>
            <w:vAlign w:val="center"/>
          </w:tcPr>
          <w:p w14:paraId="7126BF9C">
            <w:pPr>
              <w:spacing w:line="240" w:lineRule="exact"/>
              <w:ind w:firstLine="300"/>
              <w:rPr>
                <w:rFonts w:cs="Times New Roman"/>
                <w:sz w:val="15"/>
                <w:szCs w:val="15"/>
              </w:rPr>
            </w:pPr>
            <w:r>
              <w:rPr>
                <w:rFonts w:cs="Times New Roman"/>
                <w:sz w:val="15"/>
                <w:szCs w:val="15"/>
              </w:rPr>
              <w:t>19.9</w:t>
            </w:r>
          </w:p>
        </w:tc>
        <w:tc>
          <w:tcPr>
            <w:tcW w:w="1187" w:type="dxa"/>
            <w:vAlign w:val="center"/>
          </w:tcPr>
          <w:p w14:paraId="0C9AC77F">
            <w:pPr>
              <w:spacing w:line="240" w:lineRule="exact"/>
              <w:ind w:firstLine="300"/>
              <w:jc w:val="center"/>
              <w:rPr>
                <w:rFonts w:cs="Times New Roman"/>
                <w:sz w:val="15"/>
                <w:szCs w:val="15"/>
              </w:rPr>
            </w:pPr>
            <w:r>
              <w:rPr>
                <w:rFonts w:cs="Times New Roman"/>
                <w:sz w:val="15"/>
                <w:szCs w:val="15"/>
              </w:rPr>
              <w:t>18.8</w:t>
            </w:r>
          </w:p>
        </w:tc>
        <w:tc>
          <w:tcPr>
            <w:tcW w:w="1176" w:type="dxa"/>
            <w:vAlign w:val="center"/>
          </w:tcPr>
          <w:p w14:paraId="4FE55A81">
            <w:pPr>
              <w:spacing w:line="240" w:lineRule="exact"/>
              <w:ind w:firstLine="300"/>
              <w:jc w:val="center"/>
              <w:rPr>
                <w:rFonts w:cs="Times New Roman"/>
                <w:sz w:val="15"/>
                <w:szCs w:val="15"/>
              </w:rPr>
            </w:pPr>
            <w:r>
              <w:rPr>
                <w:rFonts w:cs="Times New Roman"/>
                <w:sz w:val="15"/>
                <w:szCs w:val="15"/>
              </w:rPr>
              <w:t>17.9</w:t>
            </w:r>
          </w:p>
        </w:tc>
        <w:tc>
          <w:tcPr>
            <w:tcW w:w="248" w:type="dxa"/>
          </w:tcPr>
          <w:p w14:paraId="2A8105AB">
            <w:pPr>
              <w:spacing w:line="240" w:lineRule="exact"/>
              <w:ind w:firstLine="300"/>
              <w:jc w:val="center"/>
              <w:rPr>
                <w:rFonts w:cs="Times New Roman"/>
                <w:sz w:val="15"/>
                <w:szCs w:val="15"/>
              </w:rPr>
            </w:pPr>
          </w:p>
        </w:tc>
        <w:tc>
          <w:tcPr>
            <w:tcW w:w="1167" w:type="dxa"/>
            <w:vAlign w:val="center"/>
          </w:tcPr>
          <w:p w14:paraId="1E37C567">
            <w:pPr>
              <w:spacing w:line="240" w:lineRule="exact"/>
              <w:ind w:firstLine="300"/>
              <w:jc w:val="center"/>
              <w:rPr>
                <w:rFonts w:cs="Times New Roman"/>
                <w:sz w:val="15"/>
                <w:szCs w:val="15"/>
              </w:rPr>
            </w:pPr>
            <w:r>
              <w:rPr>
                <w:rFonts w:cs="Times New Roman"/>
                <w:sz w:val="15"/>
                <w:szCs w:val="15"/>
              </w:rPr>
              <w:t>20.9</w:t>
            </w:r>
          </w:p>
        </w:tc>
        <w:tc>
          <w:tcPr>
            <w:tcW w:w="1192" w:type="dxa"/>
            <w:vAlign w:val="center"/>
          </w:tcPr>
          <w:p w14:paraId="5ABF09A1">
            <w:pPr>
              <w:spacing w:line="240" w:lineRule="exact"/>
              <w:ind w:firstLine="300"/>
              <w:jc w:val="center"/>
              <w:rPr>
                <w:rFonts w:cs="Times New Roman"/>
                <w:sz w:val="15"/>
                <w:szCs w:val="15"/>
              </w:rPr>
            </w:pPr>
            <w:r>
              <w:rPr>
                <w:rFonts w:cs="Times New Roman"/>
                <w:sz w:val="15"/>
                <w:szCs w:val="15"/>
              </w:rPr>
              <w:t>16.5</w:t>
            </w:r>
          </w:p>
        </w:tc>
        <w:tc>
          <w:tcPr>
            <w:tcW w:w="1192" w:type="dxa"/>
            <w:vAlign w:val="center"/>
          </w:tcPr>
          <w:p w14:paraId="3FB5864C">
            <w:pPr>
              <w:spacing w:line="240" w:lineRule="exact"/>
              <w:ind w:firstLine="300"/>
              <w:jc w:val="center"/>
              <w:rPr>
                <w:rFonts w:cs="Times New Roman"/>
                <w:sz w:val="15"/>
                <w:szCs w:val="15"/>
              </w:rPr>
            </w:pPr>
            <w:r>
              <w:rPr>
                <w:rFonts w:cs="Times New Roman"/>
                <w:sz w:val="15"/>
                <w:szCs w:val="15"/>
              </w:rPr>
              <w:t>15.1</w:t>
            </w:r>
          </w:p>
        </w:tc>
      </w:tr>
      <w:tr w14:paraId="0543D0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943" w:type="dxa"/>
            <w:vAlign w:val="center"/>
          </w:tcPr>
          <w:p w14:paraId="1EC02409">
            <w:pPr>
              <w:spacing w:line="240" w:lineRule="exact"/>
              <w:ind w:firstLine="0" w:firstLineChars="0"/>
              <w:rPr>
                <w:rFonts w:cs="Times New Roman"/>
                <w:sz w:val="15"/>
                <w:szCs w:val="15"/>
              </w:rPr>
            </w:pPr>
            <w:r>
              <w:rPr>
                <w:rFonts w:cs="Times New Roman"/>
                <w:sz w:val="15"/>
                <w:szCs w:val="15"/>
              </w:rPr>
              <w:t>黏土</w:t>
            </w:r>
          </w:p>
        </w:tc>
        <w:tc>
          <w:tcPr>
            <w:tcW w:w="1093" w:type="dxa"/>
            <w:vAlign w:val="center"/>
          </w:tcPr>
          <w:p w14:paraId="50CF1190">
            <w:pPr>
              <w:spacing w:line="240" w:lineRule="exact"/>
              <w:ind w:firstLine="300"/>
              <w:rPr>
                <w:rFonts w:cs="Times New Roman"/>
                <w:sz w:val="15"/>
                <w:szCs w:val="15"/>
              </w:rPr>
            </w:pPr>
            <w:r>
              <w:rPr>
                <w:rFonts w:cs="Times New Roman"/>
                <w:sz w:val="15"/>
                <w:szCs w:val="15"/>
              </w:rPr>
              <w:t>19.9</w:t>
            </w:r>
          </w:p>
        </w:tc>
        <w:tc>
          <w:tcPr>
            <w:tcW w:w="1187" w:type="dxa"/>
            <w:vAlign w:val="center"/>
          </w:tcPr>
          <w:p w14:paraId="68A46E2E">
            <w:pPr>
              <w:spacing w:line="240" w:lineRule="exact"/>
              <w:ind w:firstLine="300"/>
              <w:jc w:val="center"/>
              <w:rPr>
                <w:rFonts w:cs="Times New Roman"/>
                <w:sz w:val="15"/>
                <w:szCs w:val="15"/>
              </w:rPr>
            </w:pPr>
            <w:r>
              <w:rPr>
                <w:rFonts w:cs="Times New Roman"/>
                <w:sz w:val="15"/>
                <w:szCs w:val="15"/>
              </w:rPr>
              <w:t>17.1</w:t>
            </w:r>
          </w:p>
        </w:tc>
        <w:tc>
          <w:tcPr>
            <w:tcW w:w="1176" w:type="dxa"/>
            <w:vAlign w:val="center"/>
          </w:tcPr>
          <w:p w14:paraId="7F004AB2">
            <w:pPr>
              <w:spacing w:line="240" w:lineRule="exact"/>
              <w:ind w:firstLine="300"/>
              <w:jc w:val="center"/>
              <w:rPr>
                <w:rFonts w:cs="Times New Roman"/>
                <w:sz w:val="15"/>
                <w:szCs w:val="15"/>
              </w:rPr>
            </w:pPr>
            <w:r>
              <w:rPr>
                <w:rFonts w:cs="Times New Roman"/>
                <w:sz w:val="15"/>
                <w:szCs w:val="15"/>
              </w:rPr>
              <w:t>16.0</w:t>
            </w:r>
          </w:p>
        </w:tc>
        <w:tc>
          <w:tcPr>
            <w:tcW w:w="248" w:type="dxa"/>
          </w:tcPr>
          <w:p w14:paraId="7E82A47D">
            <w:pPr>
              <w:spacing w:line="240" w:lineRule="exact"/>
              <w:ind w:firstLine="300"/>
              <w:jc w:val="center"/>
              <w:rPr>
                <w:rFonts w:cs="Times New Roman"/>
                <w:sz w:val="15"/>
                <w:szCs w:val="15"/>
              </w:rPr>
            </w:pPr>
          </w:p>
        </w:tc>
        <w:tc>
          <w:tcPr>
            <w:tcW w:w="1167" w:type="dxa"/>
            <w:vAlign w:val="center"/>
          </w:tcPr>
          <w:p w14:paraId="4D8D1656">
            <w:pPr>
              <w:spacing w:line="240" w:lineRule="exact"/>
              <w:ind w:firstLine="300"/>
              <w:jc w:val="center"/>
              <w:rPr>
                <w:rFonts w:cs="Times New Roman"/>
                <w:sz w:val="15"/>
                <w:szCs w:val="15"/>
              </w:rPr>
            </w:pPr>
            <w:r>
              <w:rPr>
                <w:rFonts w:cs="Times New Roman"/>
                <w:sz w:val="15"/>
                <w:szCs w:val="15"/>
              </w:rPr>
              <w:t>20.9</w:t>
            </w:r>
          </w:p>
        </w:tc>
        <w:tc>
          <w:tcPr>
            <w:tcW w:w="1192" w:type="dxa"/>
            <w:vAlign w:val="center"/>
          </w:tcPr>
          <w:p w14:paraId="7D6644C5">
            <w:pPr>
              <w:spacing w:line="240" w:lineRule="exact"/>
              <w:ind w:firstLine="300"/>
              <w:jc w:val="center"/>
              <w:rPr>
                <w:rFonts w:cs="Times New Roman"/>
                <w:sz w:val="15"/>
                <w:szCs w:val="15"/>
              </w:rPr>
            </w:pPr>
            <w:r>
              <w:rPr>
                <w:rFonts w:cs="Times New Roman"/>
                <w:sz w:val="15"/>
                <w:szCs w:val="15"/>
              </w:rPr>
              <w:t>15.1</w:t>
            </w:r>
          </w:p>
        </w:tc>
        <w:tc>
          <w:tcPr>
            <w:tcW w:w="1192" w:type="dxa"/>
            <w:vAlign w:val="center"/>
          </w:tcPr>
          <w:p w14:paraId="48EB9932">
            <w:pPr>
              <w:spacing w:line="240" w:lineRule="exact"/>
              <w:ind w:firstLine="300"/>
              <w:jc w:val="center"/>
              <w:rPr>
                <w:rFonts w:cs="Times New Roman"/>
                <w:sz w:val="15"/>
                <w:szCs w:val="15"/>
              </w:rPr>
            </w:pPr>
            <w:r>
              <w:rPr>
                <w:rFonts w:cs="Times New Roman"/>
                <w:sz w:val="15"/>
                <w:szCs w:val="15"/>
              </w:rPr>
              <w:t>14.5</w:t>
            </w:r>
          </w:p>
        </w:tc>
      </w:tr>
      <w:tr w14:paraId="0F1507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trPr>
        <w:tc>
          <w:tcPr>
            <w:tcW w:w="943" w:type="dxa"/>
            <w:vAlign w:val="center"/>
          </w:tcPr>
          <w:p w14:paraId="0BC8BFAC">
            <w:pPr>
              <w:spacing w:line="240" w:lineRule="exact"/>
              <w:ind w:firstLine="0" w:firstLineChars="0"/>
              <w:rPr>
                <w:rFonts w:cs="Times New Roman"/>
                <w:sz w:val="15"/>
                <w:szCs w:val="15"/>
              </w:rPr>
            </w:pPr>
            <w:r>
              <w:rPr>
                <w:rFonts w:cs="Times New Roman"/>
                <w:sz w:val="15"/>
                <w:szCs w:val="15"/>
              </w:rPr>
              <w:t>泥岩</w:t>
            </w:r>
          </w:p>
        </w:tc>
        <w:tc>
          <w:tcPr>
            <w:tcW w:w="1093" w:type="dxa"/>
            <w:vAlign w:val="center"/>
          </w:tcPr>
          <w:p w14:paraId="75EF252E">
            <w:pPr>
              <w:spacing w:line="240" w:lineRule="exact"/>
              <w:ind w:firstLine="300"/>
              <w:rPr>
                <w:rFonts w:cs="Times New Roman"/>
                <w:sz w:val="15"/>
                <w:szCs w:val="15"/>
              </w:rPr>
            </w:pPr>
            <w:r>
              <w:rPr>
                <w:rFonts w:cs="Times New Roman"/>
                <w:sz w:val="15"/>
                <w:szCs w:val="15"/>
              </w:rPr>
              <w:t>21</w:t>
            </w:r>
          </w:p>
        </w:tc>
        <w:tc>
          <w:tcPr>
            <w:tcW w:w="1187" w:type="dxa"/>
            <w:vAlign w:val="center"/>
          </w:tcPr>
          <w:p w14:paraId="136A001B">
            <w:pPr>
              <w:spacing w:line="240" w:lineRule="exact"/>
              <w:ind w:firstLine="300"/>
              <w:jc w:val="center"/>
              <w:rPr>
                <w:rFonts w:cs="Times New Roman"/>
                <w:sz w:val="15"/>
                <w:szCs w:val="15"/>
              </w:rPr>
            </w:pPr>
            <w:r>
              <w:rPr>
                <w:rFonts w:cs="Times New Roman"/>
                <w:sz w:val="15"/>
                <w:szCs w:val="15"/>
              </w:rPr>
              <w:t>690</w:t>
            </w:r>
          </w:p>
        </w:tc>
        <w:tc>
          <w:tcPr>
            <w:tcW w:w="1176" w:type="dxa"/>
            <w:vAlign w:val="center"/>
          </w:tcPr>
          <w:p w14:paraId="1EF005F9">
            <w:pPr>
              <w:spacing w:line="240" w:lineRule="exact"/>
              <w:ind w:firstLine="300"/>
              <w:jc w:val="center"/>
              <w:rPr>
                <w:rFonts w:cs="Times New Roman"/>
                <w:sz w:val="15"/>
                <w:szCs w:val="15"/>
              </w:rPr>
            </w:pPr>
            <w:r>
              <w:rPr>
                <w:rFonts w:cs="Times New Roman"/>
                <w:sz w:val="15"/>
                <w:szCs w:val="15"/>
              </w:rPr>
              <w:t>35.2</w:t>
            </w:r>
          </w:p>
        </w:tc>
        <w:tc>
          <w:tcPr>
            <w:tcW w:w="248" w:type="dxa"/>
          </w:tcPr>
          <w:p w14:paraId="14C4BFEA">
            <w:pPr>
              <w:spacing w:line="240" w:lineRule="exact"/>
              <w:ind w:firstLine="300"/>
              <w:jc w:val="center"/>
              <w:rPr>
                <w:rFonts w:cs="Times New Roman"/>
                <w:sz w:val="15"/>
                <w:szCs w:val="15"/>
              </w:rPr>
            </w:pPr>
          </w:p>
        </w:tc>
        <w:tc>
          <w:tcPr>
            <w:tcW w:w="1167" w:type="dxa"/>
            <w:vAlign w:val="center"/>
          </w:tcPr>
          <w:p w14:paraId="245C0217">
            <w:pPr>
              <w:spacing w:line="240" w:lineRule="exact"/>
              <w:ind w:firstLine="300"/>
              <w:jc w:val="center"/>
              <w:rPr>
                <w:rFonts w:cs="Times New Roman"/>
                <w:sz w:val="15"/>
                <w:szCs w:val="15"/>
              </w:rPr>
            </w:pPr>
            <w:r>
              <w:rPr>
                <w:rFonts w:cs="Times New Roman"/>
                <w:sz w:val="15"/>
                <w:szCs w:val="15"/>
              </w:rPr>
              <w:t>23.1</w:t>
            </w:r>
          </w:p>
        </w:tc>
        <w:tc>
          <w:tcPr>
            <w:tcW w:w="1192" w:type="dxa"/>
            <w:vAlign w:val="center"/>
          </w:tcPr>
          <w:p w14:paraId="2D60C578">
            <w:pPr>
              <w:spacing w:line="240" w:lineRule="exact"/>
              <w:ind w:firstLine="300"/>
              <w:jc w:val="center"/>
              <w:rPr>
                <w:rFonts w:cs="Times New Roman"/>
                <w:sz w:val="15"/>
                <w:szCs w:val="15"/>
              </w:rPr>
            </w:pPr>
            <w:r>
              <w:rPr>
                <w:rFonts w:cs="Times New Roman"/>
                <w:sz w:val="15"/>
                <w:szCs w:val="15"/>
              </w:rPr>
              <w:t>511</w:t>
            </w:r>
          </w:p>
        </w:tc>
        <w:tc>
          <w:tcPr>
            <w:tcW w:w="1192" w:type="dxa"/>
            <w:vAlign w:val="center"/>
          </w:tcPr>
          <w:p w14:paraId="34DAC8EA">
            <w:pPr>
              <w:spacing w:line="240" w:lineRule="exact"/>
              <w:ind w:firstLine="300"/>
              <w:jc w:val="center"/>
              <w:rPr>
                <w:rFonts w:cs="Times New Roman"/>
                <w:sz w:val="15"/>
                <w:szCs w:val="15"/>
              </w:rPr>
            </w:pPr>
            <w:r>
              <w:rPr>
                <w:rFonts w:cs="Times New Roman"/>
                <w:sz w:val="15"/>
                <w:szCs w:val="15"/>
              </w:rPr>
              <w:t>31.</w:t>
            </w:r>
          </w:p>
        </w:tc>
      </w:tr>
    </w:tbl>
    <w:p w14:paraId="125FCF70">
      <w:pPr>
        <w:tabs>
          <w:tab w:val="left" w:pos="360"/>
        </w:tabs>
        <w:spacing w:line="240" w:lineRule="exact"/>
        <w:ind w:firstLine="420"/>
        <w:jc w:val="center"/>
        <w:rPr>
          <w:rFonts w:eastAsia="方正书宋简体"/>
          <w:color w:val="FF0000"/>
        </w:rPr>
      </w:pPr>
    </w:p>
    <w:p w14:paraId="4E1FDCEB">
      <w:pPr>
        <w:autoSpaceDE w:val="0"/>
        <w:autoSpaceDN w:val="0"/>
        <w:adjustRightInd w:val="0"/>
        <w:spacing w:line="320" w:lineRule="exact"/>
        <w:ind w:firstLine="420"/>
      </w:pPr>
      <w:r>
        <w:rPr>
          <w:rFonts w:hint="eastAsia"/>
          <w:color w:val="FF0000"/>
        </w:rPr>
        <w:t>表格可折叠排列</w:t>
      </w:r>
    </w:p>
    <w:p w14:paraId="2D0A4282">
      <w:pPr>
        <w:snapToGrid w:val="0"/>
        <w:spacing w:line="240" w:lineRule="atLeast"/>
        <w:ind w:firstLine="361"/>
        <w:rPr>
          <w:rFonts w:cs="Times New Roman"/>
          <w:color w:val="FF0000"/>
          <w:szCs w:val="21"/>
        </w:rPr>
      </w:pPr>
      <w:r>
        <w:rPr>
          <w:rFonts w:hint="eastAsia" w:eastAsia="方正书宋简体"/>
          <w:b/>
          <w:bCs/>
          <w:sz w:val="18"/>
        </w:rPr>
        <w:drawing>
          <wp:inline distT="0" distB="0" distL="0" distR="0">
            <wp:extent cx="5162550" cy="21780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7207" cy="2218458"/>
                    </a:xfrm>
                    <a:prstGeom prst="rect">
                      <a:avLst/>
                    </a:prstGeom>
                  </pic:spPr>
                </pic:pic>
              </a:graphicData>
            </a:graphic>
          </wp:inline>
        </w:drawing>
      </w:r>
    </w:p>
    <w:p w14:paraId="0F2445E6">
      <w:pPr>
        <w:snapToGrid w:val="0"/>
        <w:spacing w:line="240" w:lineRule="atLeast"/>
        <w:ind w:firstLine="420"/>
      </w:pPr>
    </w:p>
    <w:p w14:paraId="405CB417">
      <w:pPr>
        <w:snapToGrid w:val="0"/>
        <w:spacing w:line="320" w:lineRule="atLeast"/>
        <w:ind w:firstLine="420"/>
      </w:pPr>
      <w:r>
        <w:rPr>
          <w:rFonts w:hint="eastAsia"/>
        </w:rPr>
        <w:t>（3）插图要求</w:t>
      </w:r>
    </w:p>
    <w:p w14:paraId="07D464D5">
      <w:pPr>
        <w:snapToGrid w:val="0"/>
        <w:spacing w:line="320" w:lineRule="atLeast"/>
        <w:ind w:firstLine="420"/>
        <w:rPr>
          <w:rFonts w:cs="Times New Roman"/>
          <w:color w:val="FF0000"/>
          <w:szCs w:val="21"/>
        </w:rPr>
      </w:pPr>
      <w:r>
        <w:rPr>
          <w:rFonts w:hint="eastAsia" w:cs="Times New Roman"/>
          <w:color w:val="FF0000"/>
          <w:szCs w:val="21"/>
        </w:rPr>
        <w:t>坐标图须以“</w:t>
      </w:r>
      <w:r>
        <w:rPr>
          <w:rFonts w:cs="Times New Roman"/>
          <w:color w:val="FF0000"/>
          <w:szCs w:val="21"/>
        </w:rPr>
        <w:t>量/单位</w:t>
      </w:r>
      <w:r>
        <w:rPr>
          <w:rFonts w:hint="eastAsia" w:cs="Times New Roman"/>
          <w:color w:val="FF0000"/>
          <w:szCs w:val="21"/>
        </w:rPr>
        <w:t>”的形式给出坐标轴标识，</w:t>
      </w:r>
      <w:r>
        <w:rPr>
          <w:rFonts w:cs="Times New Roman"/>
          <w:color w:val="FF0000"/>
          <w:szCs w:val="21"/>
        </w:rPr>
        <w:t>如</w:t>
      </w:r>
      <w:r>
        <w:rPr>
          <w:rFonts w:hint="eastAsia" w:cs="Times New Roman"/>
          <w:color w:val="FF0000"/>
          <w:szCs w:val="21"/>
        </w:rPr>
        <w:t>“t</w:t>
      </w:r>
      <w:r>
        <w:rPr>
          <w:rFonts w:cs="Times New Roman"/>
          <w:color w:val="FF0000"/>
          <w:szCs w:val="21"/>
        </w:rPr>
        <w:t>/s</w:t>
      </w:r>
      <w:r>
        <w:rPr>
          <w:rFonts w:hint="eastAsia" w:cs="Times New Roman"/>
          <w:color w:val="FF0000"/>
          <w:szCs w:val="21"/>
        </w:rPr>
        <w:t>”“</w:t>
      </w:r>
      <w:r>
        <w:rPr>
          <w:rFonts w:cs="Times New Roman"/>
          <w:color w:val="FF0000"/>
          <w:szCs w:val="21"/>
        </w:rPr>
        <w:t>v/(m·s</w:t>
      </w:r>
      <w:r>
        <w:rPr>
          <w:rFonts w:cs="Times New Roman"/>
          <w:color w:val="FF0000"/>
          <w:szCs w:val="21"/>
          <w:vertAlign w:val="superscript"/>
        </w:rPr>
        <w:t>-1</w:t>
      </w:r>
      <w:r>
        <w:rPr>
          <w:rFonts w:hint="eastAsia" w:cs="Times New Roman"/>
          <w:color w:val="FF0000"/>
          <w:szCs w:val="21"/>
        </w:rPr>
        <w:t>)”“加速度/</w:t>
      </w:r>
      <w:r>
        <w:rPr>
          <w:rFonts w:cs="Times New Roman"/>
          <w:color w:val="FF0000"/>
          <w:szCs w:val="21"/>
        </w:rPr>
        <w:t>(m·s</w:t>
      </w:r>
      <w:r>
        <w:rPr>
          <w:rFonts w:cs="Times New Roman"/>
          <w:color w:val="FF0000"/>
          <w:szCs w:val="21"/>
          <w:vertAlign w:val="superscript"/>
        </w:rPr>
        <w:t>-2</w:t>
      </w:r>
      <w:r>
        <w:rPr>
          <w:rFonts w:hint="eastAsia" w:cs="Times New Roman"/>
          <w:color w:val="FF0000"/>
          <w:szCs w:val="21"/>
        </w:rPr>
        <w:t>)”等，一定要注明坐标轴物理量名称和国际标准单位，坐标刻度线应均匀分布</w:t>
      </w:r>
      <w:r>
        <w:rPr>
          <w:rFonts w:cs="Times New Roman"/>
          <w:color w:val="FF0000"/>
          <w:szCs w:val="21"/>
        </w:rPr>
        <w:t>在内侧，刻度清晰，有刻度值时，坐标轴上的箭头删除；</w:t>
      </w:r>
      <w:r>
        <w:rPr>
          <w:rFonts w:hint="eastAsia" w:cs="Times New Roman"/>
          <w:color w:val="FF0000"/>
          <w:szCs w:val="21"/>
        </w:rPr>
        <w:t>变量名用斜体，单位用正体。</w:t>
      </w:r>
    </w:p>
    <w:p w14:paraId="629D94A8">
      <w:pPr>
        <w:snapToGrid w:val="0"/>
        <w:spacing w:line="320" w:lineRule="atLeast"/>
        <w:ind w:firstLine="420"/>
        <w:rPr>
          <w:rFonts w:cs="Times New Roman"/>
          <w:color w:val="FF0000"/>
          <w:szCs w:val="21"/>
        </w:rPr>
      </w:pPr>
      <w:r>
        <w:rPr>
          <w:rFonts w:hint="eastAsia" w:cs="Times New Roman"/>
          <w:color w:val="FF0000"/>
          <w:szCs w:val="21"/>
        </w:rPr>
        <w:t>中英文图表名字号</w:t>
      </w:r>
      <w:r>
        <w:rPr>
          <w:rFonts w:hint="eastAsia" w:eastAsia="方正书宋简体"/>
          <w:color w:val="FF0000"/>
          <w:szCs w:val="21"/>
        </w:rPr>
        <w:t>为小5号宋体，居中</w:t>
      </w:r>
      <w:r>
        <w:rPr>
          <w:rFonts w:hint="eastAsia" w:cs="Times New Roman"/>
          <w:color w:val="FF0000"/>
          <w:szCs w:val="21"/>
        </w:rPr>
        <w:t>；图中字号为6号宋体。</w:t>
      </w:r>
    </w:p>
    <w:p w14:paraId="363A4232">
      <w:pPr>
        <w:autoSpaceDE w:val="0"/>
        <w:autoSpaceDN w:val="0"/>
        <w:adjustRightInd w:val="0"/>
        <w:spacing w:line="320" w:lineRule="exact"/>
        <w:ind w:firstLine="420"/>
        <w:rPr>
          <w:rFonts w:eastAsia="方正书宋简体"/>
        </w:rPr>
      </w:pPr>
    </w:p>
    <w:p w14:paraId="0A3D928F">
      <w:pPr>
        <w:snapToGrid w:val="0"/>
        <w:spacing w:beforeLines="45"/>
        <w:ind w:firstLine="420"/>
        <w:jc w:val="center"/>
      </w:pPr>
      <w:r>
        <w:drawing>
          <wp:inline distT="0" distB="0" distL="0" distR="0">
            <wp:extent cx="5274310" cy="245110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2451100"/>
                    </a:xfrm>
                    <a:prstGeom prst="rect">
                      <a:avLst/>
                    </a:prstGeom>
                  </pic:spPr>
                </pic:pic>
              </a:graphicData>
            </a:graphic>
          </wp:inline>
        </w:drawing>
      </w:r>
    </w:p>
    <w:p w14:paraId="408E7BC6">
      <w:pPr>
        <w:ind w:firstLine="0" w:firstLineChars="0"/>
        <w:jc w:val="left"/>
        <w:rPr>
          <w:rFonts w:ascii="黑体" w:hAnsi="黑体" w:eastAsia="黑体" w:cs="Times New Roman"/>
          <w:sz w:val="28"/>
          <w:szCs w:val="28"/>
        </w:rPr>
      </w:pPr>
      <w:r>
        <w:rPr>
          <w:rFonts w:hint="eastAsia" w:ascii="黑体" w:hAnsi="黑体" w:eastAsia="黑体" w:cs="Times New Roman"/>
          <w:b/>
          <w:bCs/>
          <w:sz w:val="28"/>
          <w:szCs w:val="28"/>
        </w:rPr>
        <w:t>讨论与结论</w:t>
      </w:r>
    </w:p>
    <w:p w14:paraId="2306A28A">
      <w:pPr>
        <w:spacing w:line="320" w:lineRule="atLeast"/>
        <w:ind w:firstLine="420"/>
        <w:rPr>
          <w:rFonts w:cs="Times New Roman"/>
          <w:color w:val="FF0000"/>
          <w:szCs w:val="21"/>
        </w:rPr>
      </w:pPr>
      <w:r>
        <w:rPr>
          <w:rFonts w:hint="eastAsia" w:cs="Times New Roman" w:asciiTheme="minorEastAsia" w:hAnsiTheme="minorEastAsia" w:eastAsiaTheme="minorEastAsia"/>
          <w:color w:val="FF0000"/>
        </w:rPr>
        <w:t>本刊为“讨论与结论”。用简洁准确的语言表述对研究结果的分析，阐明对研究对象进行考查或试验得到的结果，突出“讨论”的内容，即通过论文研究成果与已有同类研究成果（</w:t>
      </w:r>
      <w:r>
        <w:rPr>
          <w:rFonts w:hint="eastAsia" w:ascii="宋体"/>
          <w:bCs/>
          <w:color w:val="FF0000"/>
          <w:kern w:val="0"/>
        </w:rPr>
        <w:t>应有相关文献进行引证</w:t>
      </w:r>
      <w:r>
        <w:rPr>
          <w:rFonts w:hint="eastAsia" w:cs="Times New Roman" w:asciiTheme="minorEastAsia" w:hAnsiTheme="minorEastAsia" w:eastAsiaTheme="minorEastAsia"/>
          <w:color w:val="FF0000"/>
        </w:rPr>
        <w:t>）的比较探明其异同，讨论论文研究成果在理论与实用上的意义与价值，提出今后进一步研究的问题和建议。</w:t>
      </w:r>
    </w:p>
    <w:p w14:paraId="7D1562BD">
      <w:pPr>
        <w:spacing w:line="320" w:lineRule="atLeast"/>
        <w:ind w:firstLine="420"/>
        <w:rPr>
          <w:rFonts w:cs="Times New Roman"/>
          <w:color w:val="FF0000"/>
          <w:szCs w:val="21"/>
        </w:rPr>
      </w:pPr>
      <w:r>
        <w:rPr>
          <w:rFonts w:cs="Times New Roman"/>
          <w:color w:val="FF0000"/>
          <w:szCs w:val="21"/>
        </w:rPr>
        <w:t>切勿简单重复摘要和引言</w:t>
      </w:r>
      <w:r>
        <w:rPr>
          <w:rFonts w:hint="eastAsia" w:cs="Times New Roman"/>
          <w:color w:val="FF0000"/>
          <w:szCs w:val="21"/>
        </w:rPr>
        <w:t>，不要重复具体的试验结果。</w:t>
      </w:r>
    </w:p>
    <w:p w14:paraId="0C4B62E5">
      <w:pPr>
        <w:spacing w:line="320" w:lineRule="atLeast"/>
        <w:ind w:firstLine="420"/>
        <w:rPr>
          <w:rFonts w:cs="Times New Roman"/>
          <w:color w:val="FF0000"/>
          <w:szCs w:val="21"/>
        </w:rPr>
      </w:pPr>
      <w:r>
        <w:rPr>
          <w:rFonts w:cs="Times New Roman"/>
          <w:color w:val="FF0000"/>
          <w:szCs w:val="21"/>
        </w:rPr>
        <w:t>结论中不出现图、表、公式。</w:t>
      </w:r>
    </w:p>
    <w:p w14:paraId="1873D0EC">
      <w:pPr>
        <w:ind w:firstLine="420"/>
        <w:rPr>
          <w:rFonts w:cs="Times New Roman" w:asciiTheme="minorEastAsia" w:hAnsiTheme="minorEastAsia" w:eastAsiaTheme="minorEastAsia"/>
          <w:color w:val="C00000"/>
        </w:rPr>
      </w:pPr>
    </w:p>
    <w:p w14:paraId="1A4D8EC0">
      <w:pPr>
        <w:pStyle w:val="9"/>
        <w:spacing w:line="240" w:lineRule="auto"/>
        <w:ind w:firstLine="360"/>
        <w:rPr>
          <w:rFonts w:ascii="宋体" w:hAnsi="宋体"/>
          <w:b/>
          <w:bCs/>
          <w:color w:val="FF0000"/>
        </w:rPr>
      </w:pPr>
      <w:r>
        <w:rPr>
          <w:rFonts w:hint="eastAsia" w:ascii="宋体"/>
          <w:b/>
          <w:bCs/>
          <w:color w:val="FF0000"/>
          <w:kern w:val="0"/>
        </w:rPr>
        <w:t>参考</w:t>
      </w:r>
      <w:r>
        <w:rPr>
          <w:rFonts w:hint="eastAsia" w:ascii="宋体" w:hAnsi="宋体"/>
          <w:b/>
          <w:bCs/>
          <w:color w:val="FF0000"/>
        </w:rPr>
        <w:t>范文：</w:t>
      </w:r>
    </w:p>
    <w:p w14:paraId="552ECC97">
      <w:pPr>
        <w:pStyle w:val="9"/>
        <w:spacing w:beforeLines="50" w:line="360" w:lineRule="exact"/>
        <w:ind w:firstLine="462" w:firstLineChars="220"/>
        <w:rPr>
          <w:rFonts w:ascii="宋体" w:hAnsi="宋体"/>
          <w:b/>
          <w:bCs/>
        </w:rPr>
      </w:pPr>
      <w:r>
        <w:t>本研究结果显示，龙羊峡水库冷水鱼网箱养殖区附着藻类组成以硅藻门、绿藻门为主，分别占种类的45.16％、38.71%。硅藻门和绿藻门在龙羊峡水库冷水鱼网箱养殖区的附着藻类群落中处于优势地位，表明龙羊峡水库网箱养殖区附着藻类群落结构表现为硅藻–绿藻型；而蓝藻门、甲藻门和隐藻门的种类在龙羊峡水库中检出均较少。以往研究显示温带、亚热带、热带的平原淡水水域附着藻类主要类群以硅藻、绿藻、蓝藻</w:t>
      </w:r>
      <w:r>
        <w:rPr>
          <w:vertAlign w:val="superscript"/>
        </w:rPr>
        <w:t>[15</w:t>
      </w:r>
      <w:r>
        <w:rPr>
          <w:rFonts w:hint="eastAsia"/>
          <w:vertAlign w:val="superscript"/>
        </w:rPr>
        <w:t>-</w:t>
      </w:r>
      <w:r>
        <w:rPr>
          <w:vertAlign w:val="superscript"/>
        </w:rPr>
        <w:t>16]</w:t>
      </w:r>
      <w:r>
        <w:t>为主，产生这种差异性的主要原因是营养盐和温度是影响蓝藻生长的主要环境因子</w:t>
      </w:r>
      <w:r>
        <w:rPr>
          <w:vertAlign w:val="superscript"/>
        </w:rPr>
        <w:t>[17]</w:t>
      </w:r>
      <w:r>
        <w:t>，蓝藻更适宜生长于水温高、富营养化的水体中。而龙羊峡水库属于高原大陆性气候，常年水温极低，加之其为贫营养水库，不适宜蓝藻的生长，因此</w:t>
      </w:r>
      <w:r>
        <w:rPr>
          <w:rFonts w:hint="eastAsia"/>
        </w:rPr>
        <w:t>，</w:t>
      </w:r>
      <w:r>
        <w:t>在附着藻类群落结构上与温带、（亚）热带淡水水域存在一定的差异。龙羊峡水库硅藻种类数在群落种类结构数中占比最高，该结果同已有的研究结果显示，无论海洋环境还是淡水环境，硅藻均为附着藻类群落的主要组成部分</w:t>
      </w:r>
      <w:r>
        <w:rPr>
          <w:vertAlign w:val="superscript"/>
        </w:rPr>
        <w:t>[18</w:t>
      </w:r>
      <w:r>
        <w:rPr>
          <w:rFonts w:hint="eastAsia"/>
          <w:vertAlign w:val="superscript"/>
        </w:rPr>
        <w:t>-</w:t>
      </w:r>
      <w:r>
        <w:rPr>
          <w:vertAlign w:val="superscript"/>
        </w:rPr>
        <w:t>19]</w:t>
      </w:r>
      <w:r>
        <w:t>。</w:t>
      </w:r>
    </w:p>
    <w:p w14:paraId="583862A4">
      <w:pPr>
        <w:ind w:firstLine="420"/>
      </w:pPr>
      <w:r>
        <w:t>对龙羊峡水库冷水鱼网箱养殖水域内的大型丝状藻类通过使用形态学结合分子生物学的手段进行分析发现，大型附着藻类主要为绿藻门接合藻纲、水绵科、水绵属植物（</w:t>
      </w:r>
      <w:r>
        <w:rPr>
          <w:i/>
        </w:rPr>
        <w:t xml:space="preserve">Spirogyra </w:t>
      </w:r>
      <w:r>
        <w:t>sp.）。目前，针对大型丝状附着藻类的研究主要集中于温暖的平原淡水区域及温带亚热带地区的海洋区域内，对于西北内陆高寒高海拔区域的研究较少。海洋环境中大型附着藻类中绿藻门以浒苔（</w:t>
      </w:r>
      <w:r>
        <w:rPr>
          <w:i/>
        </w:rPr>
        <w:t>Ulva prolifera</w:t>
      </w:r>
      <w:r>
        <w:t>）、石莼（</w:t>
      </w:r>
      <w:r>
        <w:rPr>
          <w:i/>
        </w:rPr>
        <w:t>Ulva lactuca</w:t>
      </w:r>
      <w:r>
        <w:t>L）等为主</w:t>
      </w:r>
      <w:r>
        <w:rPr>
          <w:vertAlign w:val="superscript"/>
        </w:rPr>
        <w:t>[20</w:t>
      </w:r>
      <w:r>
        <w:rPr>
          <w:rFonts w:hint="eastAsia"/>
          <w:vertAlign w:val="superscript"/>
        </w:rPr>
        <w:t>-</w:t>
      </w:r>
      <w:r>
        <w:rPr>
          <w:vertAlign w:val="superscript"/>
        </w:rPr>
        <w:t>21]</w:t>
      </w:r>
      <w:r>
        <w:t>；褐藻门以鹅肠菜（</w:t>
      </w:r>
      <w:r>
        <w:rPr>
          <w:i/>
        </w:rPr>
        <w:t>Endarachnebinghamiae）</w:t>
      </w:r>
      <w:r>
        <w:t>、水云（</w:t>
      </w:r>
      <w:r>
        <w:rPr>
          <w:i/>
        </w:rPr>
        <w:t>Ectocarpales</w:t>
      </w:r>
      <w:r>
        <w:t>）</w:t>
      </w:r>
      <w:r>
        <w:rPr>
          <w:vertAlign w:val="superscript"/>
        </w:rPr>
        <w:t>[22</w:t>
      </w:r>
      <w:r>
        <w:rPr>
          <w:rFonts w:hint="eastAsia"/>
          <w:vertAlign w:val="superscript"/>
        </w:rPr>
        <w:t>-</w:t>
      </w:r>
      <w:r>
        <w:rPr>
          <w:vertAlign w:val="superscript"/>
        </w:rPr>
        <w:t>23]</w:t>
      </w:r>
      <w:r>
        <w:t>等为主；红藻门以细枝仙藻（</w:t>
      </w:r>
      <w:r>
        <w:rPr>
          <w:i/>
        </w:rPr>
        <w:t>Ceramiumtenuissun</w:t>
      </w:r>
      <w:r>
        <w:t>）</w:t>
      </w:r>
      <w:r>
        <w:rPr>
          <w:vertAlign w:val="superscript"/>
        </w:rPr>
        <w:t>[22]</w:t>
      </w:r>
      <w:r>
        <w:t>等为主。红藻门和褐藻门藻类大多为多细胞藻类，主要分布于海洋水域环境内，而在淡水环境内分布较少。平原地区的淡水环境中大型附着藻类中绿藻门以刚毛藻（</w:t>
      </w:r>
      <w:r>
        <w:rPr>
          <w:i/>
        </w:rPr>
        <w:t>Cladophora</w:t>
      </w:r>
      <w:r>
        <w:t>）、毛枝藻（</w:t>
      </w:r>
      <w:r>
        <w:rPr>
          <w:i/>
        </w:rPr>
        <w:t>Stigeoclonium</w:t>
      </w:r>
      <w:r>
        <w:t>）、丝藻（</w:t>
      </w:r>
      <w:r>
        <w:rPr>
          <w:i/>
        </w:rPr>
        <w:t>Ulothrix</w:t>
      </w:r>
      <w:r>
        <w:t>）、水绵（</w:t>
      </w:r>
      <w:r>
        <w:rPr>
          <w:i/>
        </w:rPr>
        <w:t>Spirogyra</w:t>
      </w:r>
      <w:r>
        <w:t>）</w:t>
      </w:r>
      <w:r>
        <w:rPr>
          <w:vertAlign w:val="superscript"/>
        </w:rPr>
        <w:t>[24-26]</w:t>
      </w:r>
      <w:r>
        <w:t>为主；蓝藻门以鱼腥藻（</w:t>
      </w:r>
      <w:r>
        <w:rPr>
          <w:i/>
        </w:rPr>
        <w:t>Anabaena</w:t>
      </w:r>
      <w:r>
        <w:t>）、颤藻（</w:t>
      </w:r>
      <w:r>
        <w:rPr>
          <w:i/>
        </w:rPr>
        <w:t>Oscillatoria</w:t>
      </w:r>
      <w:r>
        <w:t>）</w:t>
      </w:r>
      <w:r>
        <w:rPr>
          <w:vertAlign w:val="superscript"/>
        </w:rPr>
        <w:t>[25,27]</w:t>
      </w:r>
      <w:r>
        <w:t>为主。同样作为淡水环境，处于青藏高原地区的龙羊峡水库大型丝状藻类的种类为绿藻门藻类，而平原地区大型丝状藻类蓝藻门和绿藻门均有成为优势种的可能性。造成差异性的原因是，由于蓝藻门藻类适宜生长于水温25</w:t>
      </w:r>
      <w:r>
        <w:rPr>
          <w:rFonts w:hint="eastAsia"/>
        </w:rPr>
        <w:t>～</w:t>
      </w:r>
      <w:r>
        <w:t>35 ℃的水体内</w:t>
      </w:r>
      <w:r>
        <w:rPr>
          <w:vertAlign w:val="superscript"/>
        </w:rPr>
        <w:t>[17]</w:t>
      </w:r>
      <w:r>
        <w:t>，而龙羊峡水库区域水温常年处于3</w:t>
      </w:r>
      <w:r>
        <w:rPr>
          <w:rFonts w:hint="eastAsia"/>
        </w:rPr>
        <w:t>～</w:t>
      </w:r>
      <w:r>
        <w:t>20 ℃，因此在水温上蓝藻门藻类生长受到影响。此外，水体中的氮磷浓度是制约蓝藻门藻类生长的另一主要因子，龙羊峡水库冷水鱼网箱养殖过程中排放的氮磷元素由于水体流量大、交换速率快，导致氮磷浓度并不高，因此丝状蓝藻无法成为该区域的优势种。</w:t>
      </w:r>
    </w:p>
    <w:p w14:paraId="0329E8D8">
      <w:pPr>
        <w:ind w:firstLine="420"/>
        <w:jc w:val="left"/>
      </w:pPr>
      <w:r>
        <w:t>附着藻类的形成是一个典型的生态演替过程，大致可分为初期、中期、稳定期等</w:t>
      </w:r>
      <w:r>
        <w:rPr>
          <w:rFonts w:hint="eastAsia"/>
        </w:rPr>
        <w:t>3</w:t>
      </w:r>
      <w:r>
        <w:t>个阶段</w:t>
      </w:r>
      <w:r>
        <w:rPr>
          <w:vertAlign w:val="superscript"/>
        </w:rPr>
        <w:t>[28]</w:t>
      </w:r>
      <w:r>
        <w:t>。龙羊峡水库附着藻类的附着过程与此类似，经历了有机物-细菌、真菌、小微型硅藻等-大型绿藻等</w:t>
      </w:r>
      <w:r>
        <w:rPr>
          <w:rFonts w:hint="eastAsia"/>
        </w:rPr>
        <w:t>3</w:t>
      </w:r>
      <w:r>
        <w:t>个阶段。附着起始阶段主要为有机物积累的过程，使得样品表面由光滑变为粗糙，为后续附着过程提供营养和附着位点，此时样品表面生物多样性较低。中期阶段，样品表面的有机物、细菌等数量明显增多，且伴有小微型硅藻出现，随附着时间的延长，样品表面开始出现大量小型硅藻及丝状绿藻的繁殖体，故而样品表面生物多样性显著上升。稳定阶段，出现大量丝状绿藻，构成了以水棉为优势种，等片藻、舟形藻等硅藻附生于其表面的新型群落。</w:t>
      </w:r>
    </w:p>
    <w:p w14:paraId="6C676F48">
      <w:pPr>
        <w:ind w:firstLine="420"/>
        <w:jc w:val="left"/>
      </w:pPr>
      <w:r>
        <w:t>龙羊峡附着藻类生物量全年均有分布，且呈现夏季高、春秋次之、冬季最少的趋势。夏季水温高，附着藻类生物量在不同深度范围内均有明显的提升；冬季水温低，能够明显抑制藻类体内的酶活性，藻类生物量全年最少。多数附着藻类在夏秋季水温较高的月份附着，冬季低温时种类很少，冰冻期甚至无生物附着</w:t>
      </w:r>
      <w:r>
        <w:rPr>
          <w:vertAlign w:val="superscript"/>
        </w:rPr>
        <w:t>[22]</w:t>
      </w:r>
      <w:r>
        <w:t>。这一研究结果与其他区域附着藻类生物量分布的季节变化规律一致</w:t>
      </w:r>
      <w:r>
        <w:rPr>
          <w:vertAlign w:val="superscript"/>
        </w:rPr>
        <w:t>[29</w:t>
      </w:r>
      <w:r>
        <w:rPr>
          <w:rFonts w:hint="eastAsia"/>
          <w:vertAlign w:val="superscript"/>
        </w:rPr>
        <w:t>-</w:t>
      </w:r>
      <w:r>
        <w:rPr>
          <w:vertAlign w:val="superscript"/>
        </w:rPr>
        <w:t>30]</w:t>
      </w:r>
      <w:r>
        <w:t>，表明温度是影响附着藻类的生物量的重要因素。</w:t>
      </w:r>
    </w:p>
    <w:p w14:paraId="4857BFB3">
      <w:pPr>
        <w:ind w:firstLine="420"/>
        <w:jc w:val="left"/>
      </w:pPr>
      <w:r>
        <w:t>垂直方向上，龙羊峡附着藻类生物量在夏季均随深度的增加呈先增加后减少的趋势，其余三季随深度的增加，藻类生物量逐渐减少。因此我们推测附着藻类的在垂直方向上的分布受到光照辐射强度的调控，在适宜的光照辐射强度范围内，藻类初级生产率随着光照辐射强度增强而升高</w:t>
      </w:r>
      <w:r>
        <w:rPr>
          <w:vertAlign w:val="superscript"/>
        </w:rPr>
        <w:t>[31]</w:t>
      </w:r>
      <w:r>
        <w:t>。但是夏季高海拔地区光辐射强度大，光辐射抑制藻类的光合作用，并且使其对营养元素的吸收效果降低</w:t>
      </w:r>
      <w:r>
        <w:rPr>
          <w:vertAlign w:val="superscript"/>
        </w:rPr>
        <w:t>[32]</w:t>
      </w:r>
      <w:r>
        <w:t>，因此夏季藻类在水体表层的生长受到抑制作用，随着水深的增加，光辐射强度有所下降，藻类的生物量增加；当达到藻类适宜生长的深度时藻类的生物量达到峰值，而后随着水深的增加藻类生物量逐渐降低。在春、秋、冬</w:t>
      </w:r>
      <w:r>
        <w:rPr>
          <w:rFonts w:hint="eastAsia"/>
        </w:rPr>
        <w:t>3</w:t>
      </w:r>
      <w:r>
        <w:t>季时，水体表层光辐射强度适宜藻类的生长，随水深的增加，光照强度降低</w:t>
      </w:r>
      <w:r>
        <w:rPr>
          <w:vertAlign w:val="superscript"/>
        </w:rPr>
        <w:t>[33]</w:t>
      </w:r>
      <w:r>
        <w:t>，藻类的生物量随之降低。对于水温和光照对附着藻类垂直分布方面的相关性仍需进一步研究确认。</w:t>
      </w:r>
    </w:p>
    <w:p w14:paraId="7FBF49AD">
      <w:pPr>
        <w:ind w:firstLine="420"/>
        <w:rPr>
          <w:rFonts w:cs="Times New Roman" w:asciiTheme="minorEastAsia" w:hAnsiTheme="minorEastAsia" w:eastAsiaTheme="minorEastAsia"/>
        </w:rPr>
      </w:pPr>
    </w:p>
    <w:p w14:paraId="16E94CDF">
      <w:pPr>
        <w:ind w:firstLine="0" w:firstLineChars="0"/>
        <w:rPr>
          <w:rFonts w:ascii="楷体" w:hAnsi="楷体" w:eastAsia="楷体" w:cs="Times New Roman"/>
        </w:rPr>
      </w:pPr>
    </w:p>
    <w:p w14:paraId="4D6A57C6">
      <w:pPr>
        <w:ind w:left="422" w:hanging="422" w:hangingChars="150"/>
        <w:rPr>
          <w:rFonts w:eastAsia="方正书宋简体"/>
          <w:b/>
          <w:bCs/>
          <w:szCs w:val="21"/>
        </w:rPr>
      </w:pPr>
      <w:r>
        <w:rPr>
          <w:rFonts w:hint="eastAsia" w:ascii="黑体" w:hAnsi="黑体" w:eastAsia="黑体"/>
          <w:b/>
          <w:bCs/>
          <w:sz w:val="28"/>
          <w:szCs w:val="28"/>
        </w:rPr>
        <w:t>参考文献</w:t>
      </w:r>
      <w:r>
        <w:rPr>
          <w:rFonts w:hint="eastAsia" w:eastAsia="方正书宋简体"/>
          <w:b/>
          <w:bCs/>
          <w:szCs w:val="21"/>
        </w:rPr>
        <w:t>(上下均空0.5行，5号宋体加粗)</w:t>
      </w:r>
    </w:p>
    <w:p w14:paraId="7EF1CA98">
      <w:pPr>
        <w:ind w:firstLine="420"/>
        <w:rPr>
          <w:rFonts w:asciiTheme="minorEastAsia" w:hAnsiTheme="minorEastAsia" w:eastAsiaTheme="minorEastAsia"/>
          <w:bCs/>
          <w:color w:val="FF0000"/>
          <w:szCs w:val="21"/>
        </w:rPr>
      </w:pPr>
      <w:r>
        <w:rPr>
          <w:rFonts w:hint="eastAsia" w:asciiTheme="minorEastAsia" w:hAnsiTheme="minorEastAsia" w:eastAsiaTheme="minorEastAsia"/>
          <w:color w:val="FF0000"/>
          <w:szCs w:val="21"/>
        </w:rPr>
        <w:t>本刊采用顺序编码制，即按参考文献在正文中被引用的顺序进行编码，并在正文中指明其标引处</w:t>
      </w:r>
      <w:r>
        <w:rPr>
          <w:rFonts w:hint="eastAsia" w:eastAsia="方正书宋简体"/>
          <w:color w:val="FF0000"/>
          <w:szCs w:val="21"/>
        </w:rPr>
        <w:t>；</w:t>
      </w:r>
      <w:r>
        <w:rPr>
          <w:rFonts w:hint="eastAsia" w:asciiTheme="minorEastAsia" w:hAnsiTheme="minorEastAsia" w:eastAsiaTheme="minorEastAsia"/>
          <w:color w:val="FF0000"/>
          <w:szCs w:val="21"/>
        </w:rPr>
        <w:t>同一处引用多篇文献时，须将各篇文献的序号在方括号内全部列出（</w:t>
      </w:r>
      <w:r>
        <w:rPr>
          <w:rFonts w:cs="Times New Roman" w:hAnsiTheme="minorEastAsia" w:eastAsiaTheme="minorEastAsia"/>
          <w:color w:val="FF0000"/>
          <w:szCs w:val="21"/>
          <w:shd w:val="clear" w:color="auto" w:fill="FFFFFF"/>
        </w:rPr>
        <w:t>黄河流域土地利用变化</w:t>
      </w:r>
      <w:r>
        <w:rPr>
          <w:rFonts w:hint="eastAsia" w:cs="Times New Roman" w:hAnsiTheme="minorEastAsia" w:eastAsiaTheme="minorEastAsia"/>
          <w:color w:val="FF0000"/>
          <w:szCs w:val="21"/>
          <w:shd w:val="clear" w:color="auto" w:fill="FFFFFF"/>
        </w:rPr>
        <w:t>的</w:t>
      </w:r>
      <w:r>
        <w:rPr>
          <w:rFonts w:cs="Times New Roman" w:hAnsiTheme="minorEastAsia" w:eastAsiaTheme="minorEastAsia"/>
          <w:color w:val="FF0000"/>
          <w:szCs w:val="21"/>
          <w:shd w:val="clear" w:color="auto" w:fill="FFFFFF"/>
        </w:rPr>
        <w:t>影响</w:t>
      </w:r>
      <w:r>
        <w:rPr>
          <w:rFonts w:hint="eastAsia" w:cs="宋体" w:asciiTheme="minorEastAsia" w:hAnsiTheme="minorEastAsia" w:eastAsiaTheme="minorEastAsia"/>
          <w:color w:val="FF0000"/>
          <w:kern w:val="0"/>
          <w:szCs w:val="21"/>
          <w:vertAlign w:val="superscript"/>
        </w:rPr>
        <w:t>[</w:t>
      </w:r>
      <w:r>
        <w:rPr>
          <w:rFonts w:cs="宋体" w:asciiTheme="minorEastAsia" w:hAnsiTheme="minorEastAsia" w:eastAsiaTheme="minorEastAsia"/>
          <w:color w:val="FF0000"/>
          <w:kern w:val="0"/>
          <w:szCs w:val="21"/>
          <w:vertAlign w:val="superscript"/>
        </w:rPr>
        <w:t>6</w:t>
      </w:r>
      <w:r>
        <w:rPr>
          <w:rFonts w:hint="eastAsia" w:cs="宋体" w:asciiTheme="minorEastAsia" w:hAnsiTheme="minorEastAsia" w:eastAsiaTheme="minorEastAsia"/>
          <w:color w:val="FF0000"/>
          <w:kern w:val="0"/>
          <w:szCs w:val="21"/>
          <w:vertAlign w:val="superscript"/>
        </w:rPr>
        <w:t>,</w:t>
      </w:r>
      <w:r>
        <w:rPr>
          <w:rFonts w:cs="宋体" w:asciiTheme="minorEastAsia" w:hAnsiTheme="minorEastAsia" w:eastAsiaTheme="minorEastAsia"/>
          <w:color w:val="FF0000"/>
          <w:kern w:val="0"/>
          <w:szCs w:val="21"/>
          <w:vertAlign w:val="superscript"/>
        </w:rPr>
        <w:t>9</w:t>
      </w:r>
      <w:r>
        <w:rPr>
          <w:rFonts w:hint="eastAsia" w:cs="宋体" w:asciiTheme="minorEastAsia" w:hAnsiTheme="minorEastAsia" w:eastAsiaTheme="minorEastAsia"/>
          <w:color w:val="FF0000"/>
          <w:kern w:val="0"/>
          <w:szCs w:val="21"/>
          <w:vertAlign w:val="superscript"/>
        </w:rPr>
        <w:t>]</w:t>
      </w:r>
      <w:r>
        <w:rPr>
          <w:rFonts w:hint="eastAsia" w:cs="宋体" w:asciiTheme="minorEastAsia" w:hAnsiTheme="minorEastAsia" w:eastAsiaTheme="minorEastAsia"/>
          <w:color w:val="FF0000"/>
          <w:kern w:val="0"/>
          <w:szCs w:val="21"/>
        </w:rPr>
        <w:t>）；</w:t>
      </w:r>
      <w:r>
        <w:rPr>
          <w:rFonts w:hint="eastAsia" w:asciiTheme="minorEastAsia" w:hAnsiTheme="minorEastAsia" w:eastAsiaTheme="minorEastAsia"/>
          <w:color w:val="FF0000"/>
          <w:szCs w:val="21"/>
        </w:rPr>
        <w:t>如遇连续序号，可标注起讫序号（</w:t>
      </w:r>
      <w:r>
        <w:rPr>
          <w:rFonts w:cs="Times New Roman" w:hAnsiTheme="minorEastAsia" w:eastAsiaTheme="minorEastAsia"/>
          <w:color w:val="FF0000"/>
          <w:szCs w:val="21"/>
          <w:shd w:val="clear" w:color="auto" w:fill="FFFFFF"/>
        </w:rPr>
        <w:t>黄河源区气候水文和植被覆盖变化</w:t>
      </w:r>
      <w:r>
        <w:rPr>
          <w:rFonts w:hint="eastAsia" w:cs="Times New Roman" w:hAnsiTheme="minorEastAsia" w:eastAsiaTheme="minorEastAsia"/>
          <w:color w:val="FF0000"/>
          <w:szCs w:val="21"/>
          <w:shd w:val="clear" w:color="auto" w:fill="FFFFFF"/>
        </w:rPr>
        <w:t>所</w:t>
      </w:r>
      <w:r>
        <w:rPr>
          <w:rFonts w:cs="Times New Roman" w:hAnsiTheme="minorEastAsia" w:eastAsiaTheme="minorEastAsia"/>
          <w:color w:val="FF0000"/>
          <w:szCs w:val="21"/>
          <w:shd w:val="clear" w:color="auto" w:fill="FFFFFF"/>
        </w:rPr>
        <w:t>面临</w:t>
      </w:r>
      <w:r>
        <w:rPr>
          <w:rFonts w:hint="eastAsia" w:cs="Times New Roman" w:hAnsiTheme="minorEastAsia" w:eastAsiaTheme="minorEastAsia"/>
          <w:color w:val="FF0000"/>
          <w:szCs w:val="21"/>
          <w:shd w:val="clear" w:color="auto" w:fill="FFFFFF"/>
        </w:rPr>
        <w:t>的</w:t>
      </w:r>
      <w:r>
        <w:rPr>
          <w:rFonts w:cs="Times New Roman" w:hAnsiTheme="minorEastAsia" w:eastAsiaTheme="minorEastAsia"/>
          <w:color w:val="FF0000"/>
          <w:szCs w:val="21"/>
          <w:shd w:val="clear" w:color="auto" w:fill="FFFFFF"/>
        </w:rPr>
        <w:t>问题</w:t>
      </w:r>
      <w:r>
        <w:rPr>
          <w:rFonts w:hint="eastAsia" w:cs="宋体" w:asciiTheme="minorEastAsia" w:hAnsiTheme="minorEastAsia" w:eastAsiaTheme="minorEastAsia"/>
          <w:color w:val="FF0000"/>
          <w:kern w:val="0"/>
          <w:szCs w:val="21"/>
          <w:vertAlign w:val="superscript"/>
        </w:rPr>
        <w:t>[</w:t>
      </w:r>
      <w:r>
        <w:rPr>
          <w:rFonts w:cs="宋体" w:asciiTheme="minorEastAsia" w:hAnsiTheme="minorEastAsia" w:eastAsiaTheme="minorEastAsia"/>
          <w:color w:val="FF0000"/>
          <w:kern w:val="0"/>
          <w:szCs w:val="21"/>
          <w:vertAlign w:val="superscript"/>
        </w:rPr>
        <w:t>5</w:t>
      </w:r>
      <w:r>
        <w:rPr>
          <w:rFonts w:hint="eastAsia" w:cs="宋体" w:asciiTheme="minorEastAsia" w:hAnsiTheme="minorEastAsia" w:eastAsiaTheme="minorEastAsia"/>
          <w:color w:val="FF0000"/>
          <w:kern w:val="0"/>
          <w:szCs w:val="21"/>
          <w:vertAlign w:val="superscript"/>
        </w:rPr>
        <w:t>,</w:t>
      </w:r>
      <w:r>
        <w:rPr>
          <w:rFonts w:cs="宋体" w:asciiTheme="minorEastAsia" w:hAnsiTheme="minorEastAsia" w:eastAsiaTheme="minorEastAsia"/>
          <w:color w:val="FF0000"/>
          <w:kern w:val="0"/>
          <w:szCs w:val="21"/>
          <w:vertAlign w:val="superscript"/>
        </w:rPr>
        <w:t>8</w:t>
      </w:r>
      <w:r>
        <w:rPr>
          <w:rFonts w:hint="eastAsia" w:cs="宋体" w:asciiTheme="minorEastAsia" w:hAnsiTheme="minorEastAsia" w:eastAsiaTheme="minorEastAsia"/>
          <w:color w:val="FF0000"/>
          <w:kern w:val="0"/>
          <w:szCs w:val="21"/>
          <w:vertAlign w:val="superscript"/>
        </w:rPr>
        <w:t>-12]</w:t>
      </w:r>
      <w:r>
        <w:rPr>
          <w:rFonts w:hint="eastAsia" w:asciiTheme="minorEastAsia" w:hAnsiTheme="minorEastAsia" w:eastAsiaTheme="minorEastAsia"/>
          <w:color w:val="FF0000"/>
          <w:szCs w:val="21"/>
        </w:rPr>
        <w:t>）；</w:t>
      </w:r>
      <w:r>
        <w:rPr>
          <w:rFonts w:hint="eastAsia" w:asciiTheme="minorEastAsia" w:hAnsiTheme="minorEastAsia" w:eastAsiaTheme="minorEastAsia"/>
          <w:color w:val="FF0000"/>
          <w:szCs w:val="21"/>
          <w:lang w:val="en-US" w:eastAsia="zh-CN"/>
        </w:rPr>
        <w:t>近五年参考文献数量占比达75%，</w:t>
      </w:r>
      <w:r>
        <w:rPr>
          <w:rFonts w:hint="eastAsia" w:asciiTheme="minorEastAsia" w:hAnsiTheme="minorEastAsia" w:eastAsiaTheme="minorEastAsia"/>
          <w:bCs/>
          <w:color w:val="FF0000"/>
          <w:szCs w:val="21"/>
        </w:rPr>
        <w:t>文献要求不少于15条</w:t>
      </w:r>
      <w:r>
        <w:rPr>
          <w:rFonts w:hint="eastAsia" w:asciiTheme="minorEastAsia" w:hAnsiTheme="minorEastAsia" w:eastAsiaTheme="minorEastAsia"/>
          <w:bCs/>
          <w:color w:val="FF0000"/>
          <w:szCs w:val="21"/>
          <w:lang w:eastAsia="zh-CN"/>
        </w:rPr>
        <w:t>，</w:t>
      </w:r>
      <w:r>
        <w:rPr>
          <w:rFonts w:hint="eastAsia" w:asciiTheme="minorEastAsia" w:hAnsiTheme="minorEastAsia" w:eastAsiaTheme="minorEastAsia"/>
          <w:bCs/>
          <w:color w:val="FF0000"/>
          <w:szCs w:val="21"/>
          <w:lang w:val="en-US" w:eastAsia="zh-CN"/>
        </w:rPr>
        <w:t>也不能超过30条</w:t>
      </w:r>
      <w:r>
        <w:rPr>
          <w:rFonts w:hint="eastAsia" w:asciiTheme="minorEastAsia" w:hAnsiTheme="minorEastAsia" w:eastAsiaTheme="minorEastAsia"/>
          <w:bCs/>
          <w:color w:val="FF0000"/>
          <w:szCs w:val="21"/>
        </w:rPr>
        <w:t>。</w:t>
      </w:r>
    </w:p>
    <w:p w14:paraId="58E37C0D">
      <w:pPr>
        <w:ind w:left="316" w:hanging="316" w:hangingChars="150"/>
        <w:rPr>
          <w:rFonts w:asciiTheme="minorEastAsia" w:hAnsiTheme="minorEastAsia" w:eastAsiaTheme="minorEastAsia"/>
          <w:bCs/>
          <w:sz w:val="18"/>
          <w:szCs w:val="18"/>
        </w:rPr>
      </w:pPr>
      <w:r>
        <w:rPr>
          <w:rFonts w:hint="eastAsia" w:eastAsia="方正书宋简体"/>
          <w:b/>
          <w:bCs/>
          <w:szCs w:val="21"/>
        </w:rPr>
        <w:t>示例如下：</w:t>
      </w:r>
      <w:bookmarkStart w:id="3" w:name="_GoBack"/>
      <w:bookmarkEnd w:id="3"/>
    </w:p>
    <w:p w14:paraId="23E420E4">
      <w:pPr>
        <w:ind w:left="270" w:hanging="270" w:hangingChars="150"/>
        <w:rPr>
          <w:rFonts w:cs="Times New Roman" w:eastAsiaTheme="minorEastAsia"/>
          <w:sz w:val="18"/>
          <w:szCs w:val="18"/>
          <w:shd w:val="clear" w:color="auto" w:fill="FFFFFF"/>
        </w:rPr>
      </w:pPr>
      <w:r>
        <w:rPr>
          <w:rFonts w:cs="Times New Roman" w:eastAsiaTheme="minorEastAsia"/>
          <w:sz w:val="18"/>
          <w:szCs w:val="18"/>
          <w:shd w:val="clear" w:color="auto" w:fill="FFFFFF"/>
        </w:rPr>
        <w:t xml:space="preserve">[1] </w:t>
      </w:r>
      <w:r>
        <w:rPr>
          <w:rFonts w:cs="Times New Roman" w:hAnsiTheme="minorEastAsia" w:eastAsiaTheme="minorEastAsia"/>
          <w:sz w:val="18"/>
          <w:szCs w:val="18"/>
          <w:shd w:val="clear" w:color="auto" w:fill="FFFFFF"/>
        </w:rPr>
        <w:t>赵志平</w:t>
      </w:r>
      <w:r>
        <w:rPr>
          <w:rFonts w:cs="Times New Roman" w:eastAsiaTheme="minorEastAsia"/>
          <w:sz w:val="18"/>
          <w:szCs w:val="18"/>
          <w:shd w:val="clear" w:color="auto" w:fill="FFFFFF"/>
        </w:rPr>
        <w:t xml:space="preserve">, </w:t>
      </w:r>
      <w:r>
        <w:rPr>
          <w:rFonts w:cs="Times New Roman" w:hAnsiTheme="minorEastAsia" w:eastAsiaTheme="minorEastAsia"/>
          <w:sz w:val="18"/>
          <w:szCs w:val="18"/>
          <w:shd w:val="clear" w:color="auto" w:fill="FFFFFF"/>
        </w:rPr>
        <w:t>刘纪远</w:t>
      </w:r>
      <w:r>
        <w:rPr>
          <w:rFonts w:cs="Times New Roman" w:eastAsiaTheme="minorEastAsia"/>
          <w:sz w:val="18"/>
          <w:szCs w:val="18"/>
          <w:shd w:val="clear" w:color="auto" w:fill="FFFFFF"/>
        </w:rPr>
        <w:t xml:space="preserve">, </w:t>
      </w:r>
      <w:r>
        <w:rPr>
          <w:rFonts w:cs="Times New Roman" w:hAnsiTheme="minorEastAsia" w:eastAsiaTheme="minorEastAsia"/>
          <w:sz w:val="18"/>
          <w:szCs w:val="18"/>
          <w:shd w:val="clear" w:color="auto" w:fill="FFFFFF"/>
        </w:rPr>
        <w:t>邵全琴</w:t>
      </w:r>
      <w:r>
        <w:rPr>
          <w:rFonts w:cs="Times New Roman" w:eastAsiaTheme="minorEastAsia"/>
          <w:sz w:val="18"/>
          <w:szCs w:val="18"/>
          <w:shd w:val="clear" w:color="auto" w:fill="FFFFFF"/>
        </w:rPr>
        <w:t xml:space="preserve">. </w:t>
      </w:r>
      <w:r>
        <w:rPr>
          <w:rFonts w:cs="Times New Roman" w:hAnsiTheme="minorEastAsia" w:eastAsiaTheme="minorEastAsia"/>
          <w:sz w:val="18"/>
          <w:szCs w:val="18"/>
          <w:shd w:val="clear" w:color="auto" w:fill="FFFFFF"/>
        </w:rPr>
        <w:t>三江源自然保护区土地覆被变化特征分析</w:t>
      </w:r>
      <w:r>
        <w:rPr>
          <w:rFonts w:cs="Times New Roman" w:eastAsiaTheme="minorEastAsia"/>
          <w:sz w:val="18"/>
          <w:szCs w:val="18"/>
          <w:shd w:val="clear" w:color="auto" w:fill="FFFFFF"/>
        </w:rPr>
        <w:t xml:space="preserve">[J]. </w:t>
      </w:r>
      <w:r>
        <w:rPr>
          <w:rFonts w:cs="Times New Roman" w:hAnsiTheme="minorEastAsia" w:eastAsiaTheme="minorEastAsia"/>
          <w:sz w:val="18"/>
          <w:szCs w:val="18"/>
          <w:shd w:val="clear" w:color="auto" w:fill="FFFFFF"/>
        </w:rPr>
        <w:t>地理科学</w:t>
      </w:r>
      <w:r>
        <w:rPr>
          <w:rFonts w:cs="Times New Roman" w:eastAsiaTheme="minorEastAsia"/>
          <w:sz w:val="18"/>
          <w:szCs w:val="18"/>
          <w:shd w:val="clear" w:color="auto" w:fill="FFFFFF"/>
        </w:rPr>
        <w:t>, 2010, 30(3): 415-420.</w:t>
      </w:r>
    </w:p>
    <w:p w14:paraId="332032AF">
      <w:pPr>
        <w:ind w:left="270" w:hanging="270" w:hangingChars="150"/>
        <w:rPr>
          <w:rFonts w:cs="Times New Roman" w:eastAsiaTheme="minorEastAsia"/>
          <w:color w:val="000000"/>
          <w:sz w:val="18"/>
          <w:szCs w:val="18"/>
        </w:rPr>
      </w:pPr>
      <w:r>
        <w:rPr>
          <w:rFonts w:cs="Times New Roman" w:eastAsiaTheme="minorEastAsia"/>
          <w:color w:val="000000"/>
          <w:sz w:val="18"/>
          <w:szCs w:val="18"/>
        </w:rPr>
        <w:t>[2]</w:t>
      </w:r>
      <w:r>
        <w:rPr>
          <w:rFonts w:cs="Times New Roman" w:hAnsiTheme="minorEastAsia" w:eastAsiaTheme="minorEastAsia"/>
          <w:color w:val="000000"/>
          <w:sz w:val="18"/>
          <w:szCs w:val="18"/>
        </w:rPr>
        <w:t>马玥</w:t>
      </w:r>
      <w:r>
        <w:rPr>
          <w:rFonts w:cs="Times New Roman" w:eastAsiaTheme="minorEastAsia"/>
          <w:color w:val="000000"/>
          <w:sz w:val="18"/>
          <w:szCs w:val="18"/>
        </w:rPr>
        <w:t xml:space="preserve">, </w:t>
      </w:r>
      <w:r>
        <w:rPr>
          <w:rFonts w:cs="Times New Roman" w:hAnsiTheme="minorEastAsia" w:eastAsiaTheme="minorEastAsia"/>
          <w:color w:val="000000"/>
          <w:sz w:val="18"/>
          <w:szCs w:val="18"/>
        </w:rPr>
        <w:t>姜琦刚</w:t>
      </w:r>
      <w:r>
        <w:rPr>
          <w:rFonts w:cs="Times New Roman" w:eastAsiaTheme="minorEastAsia"/>
          <w:color w:val="000000"/>
          <w:sz w:val="18"/>
          <w:szCs w:val="18"/>
        </w:rPr>
        <w:t xml:space="preserve">, </w:t>
      </w:r>
      <w:r>
        <w:rPr>
          <w:rFonts w:cs="Times New Roman" w:hAnsiTheme="minorEastAsia" w:eastAsiaTheme="minorEastAsia"/>
          <w:color w:val="000000"/>
          <w:sz w:val="18"/>
          <w:szCs w:val="18"/>
        </w:rPr>
        <w:t>孟治国</w:t>
      </w:r>
      <w:r>
        <w:rPr>
          <w:rFonts w:cs="Times New Roman" w:eastAsiaTheme="minorEastAsia"/>
          <w:color w:val="000000"/>
          <w:sz w:val="18"/>
          <w:szCs w:val="18"/>
        </w:rPr>
        <w:t>,</w:t>
      </w:r>
      <w:r>
        <w:rPr>
          <w:rFonts w:cs="Times New Roman" w:hAnsiTheme="minorEastAsia" w:eastAsiaTheme="minorEastAsia"/>
          <w:color w:val="000000"/>
          <w:sz w:val="18"/>
          <w:szCs w:val="18"/>
        </w:rPr>
        <w:t>等</w:t>
      </w:r>
      <w:r>
        <w:rPr>
          <w:rFonts w:cs="Times New Roman"/>
          <w:b/>
          <w:bCs/>
          <w:color w:val="FF0000"/>
          <w:sz w:val="18"/>
          <w:szCs w:val="18"/>
        </w:rPr>
        <w:t>（超过三位作者时加“等”）</w:t>
      </w:r>
      <w:r>
        <w:rPr>
          <w:rFonts w:cs="Times New Roman" w:eastAsiaTheme="minorEastAsia"/>
          <w:color w:val="000000"/>
          <w:sz w:val="18"/>
          <w:szCs w:val="18"/>
        </w:rPr>
        <w:t xml:space="preserve">. </w:t>
      </w:r>
      <w:r>
        <w:rPr>
          <w:rFonts w:cs="Times New Roman" w:hAnsiTheme="minorEastAsia" w:eastAsiaTheme="minorEastAsia"/>
          <w:color w:val="000000"/>
          <w:sz w:val="18"/>
          <w:szCs w:val="18"/>
        </w:rPr>
        <w:t>基于随机森林算法的农耕区土地利用分类研究</w:t>
      </w:r>
      <w:r>
        <w:rPr>
          <w:rFonts w:cs="Times New Roman" w:eastAsiaTheme="minorEastAsia"/>
          <w:color w:val="000000"/>
          <w:sz w:val="18"/>
          <w:szCs w:val="18"/>
        </w:rPr>
        <w:t xml:space="preserve">[J]. </w:t>
      </w:r>
      <w:r>
        <w:rPr>
          <w:rFonts w:cs="Times New Roman" w:hAnsiTheme="minorEastAsia" w:eastAsiaTheme="minorEastAsia"/>
          <w:color w:val="000000"/>
          <w:sz w:val="18"/>
          <w:szCs w:val="18"/>
        </w:rPr>
        <w:t>农业机械学报</w:t>
      </w:r>
      <w:r>
        <w:rPr>
          <w:rFonts w:cs="Times New Roman" w:eastAsiaTheme="minorEastAsia"/>
          <w:color w:val="000000"/>
          <w:sz w:val="18"/>
          <w:szCs w:val="18"/>
        </w:rPr>
        <w:t>, 2016, 47(1): 297-303.</w:t>
      </w:r>
    </w:p>
    <w:p w14:paraId="6B90CE4B">
      <w:pPr>
        <w:ind w:left="360" w:hanging="360" w:hangingChars="200"/>
        <w:rPr>
          <w:rFonts w:cs="Times New Roman" w:eastAsiaTheme="minorEastAsia"/>
          <w:color w:val="000000"/>
          <w:sz w:val="18"/>
          <w:szCs w:val="18"/>
        </w:rPr>
      </w:pPr>
      <w:r>
        <w:rPr>
          <w:rFonts w:cs="Times New Roman" w:eastAsiaTheme="minorEastAsia"/>
          <w:color w:val="000000"/>
          <w:sz w:val="18"/>
          <w:szCs w:val="18"/>
        </w:rPr>
        <w:t>[3] WU Q, ZHONG R F, ZHAO W J, et al</w:t>
      </w:r>
      <w:r>
        <w:rPr>
          <w:rFonts w:cs="Times New Roman"/>
          <w:b/>
          <w:bCs/>
          <w:color w:val="FF0000"/>
          <w:sz w:val="18"/>
          <w:szCs w:val="18"/>
        </w:rPr>
        <w:t>（作者之间用逗号分开，只列前三位作者，超过三位作者时加</w:t>
      </w:r>
      <w:r>
        <w:rPr>
          <w:rFonts w:hint="eastAsia" w:cs="Times New Roman"/>
          <w:b/>
          <w:bCs/>
          <w:color w:val="FF0000"/>
          <w:sz w:val="18"/>
          <w:szCs w:val="18"/>
        </w:rPr>
        <w:t>“</w:t>
      </w:r>
      <w:r>
        <w:rPr>
          <w:rFonts w:cs="Times New Roman"/>
          <w:b/>
          <w:bCs/>
          <w:iCs/>
          <w:color w:val="FF0000"/>
          <w:sz w:val="18"/>
          <w:szCs w:val="18"/>
        </w:rPr>
        <w:t>et al</w:t>
      </w:r>
      <w:r>
        <w:rPr>
          <w:rFonts w:hint="eastAsia" w:cs="Times New Roman"/>
          <w:b/>
          <w:bCs/>
          <w:color w:val="FF0000"/>
          <w:sz w:val="18"/>
          <w:szCs w:val="18"/>
        </w:rPr>
        <w:t>”</w:t>
      </w:r>
      <w:r>
        <w:rPr>
          <w:rFonts w:cs="Times New Roman"/>
          <w:b/>
          <w:bCs/>
          <w:color w:val="FF0000"/>
          <w:sz w:val="18"/>
          <w:szCs w:val="18"/>
        </w:rPr>
        <w:t>）</w:t>
      </w:r>
      <w:r>
        <w:rPr>
          <w:rFonts w:cs="Times New Roman" w:eastAsiaTheme="minorEastAsia"/>
          <w:color w:val="000000"/>
          <w:sz w:val="18"/>
          <w:szCs w:val="18"/>
        </w:rPr>
        <w:t>. Land-cover classification using GF-2 images and airborne lidar data based on Random Forest[J]. International Journal of Remote Sensing, 2019, 40(5/6): 2410-2426.</w:t>
      </w:r>
    </w:p>
    <w:p w14:paraId="30B130A1">
      <w:pPr>
        <w:ind w:left="270" w:hanging="270" w:hangingChars="150"/>
        <w:rPr>
          <w:color w:val="C00000"/>
          <w:sz w:val="18"/>
          <w:szCs w:val="18"/>
        </w:rPr>
      </w:pPr>
      <w:r>
        <w:rPr>
          <w:sz w:val="18"/>
          <w:szCs w:val="18"/>
        </w:rPr>
        <w:t>[4]</w:t>
      </w:r>
      <w:r>
        <w:rPr>
          <w:rFonts w:hint="eastAsia"/>
          <w:sz w:val="18"/>
          <w:szCs w:val="18"/>
        </w:rPr>
        <w:t>蒋有绪</w:t>
      </w:r>
      <w:r>
        <w:rPr>
          <w:sz w:val="18"/>
          <w:szCs w:val="18"/>
        </w:rPr>
        <w:t>,</w:t>
      </w:r>
      <w:r>
        <w:rPr>
          <w:rFonts w:hint="eastAsia"/>
          <w:sz w:val="18"/>
          <w:szCs w:val="18"/>
        </w:rPr>
        <w:t>郭泉水</w:t>
      </w:r>
      <w:r>
        <w:rPr>
          <w:sz w:val="18"/>
          <w:szCs w:val="18"/>
        </w:rPr>
        <w:t>,</w:t>
      </w:r>
      <w:r>
        <w:rPr>
          <w:rFonts w:hint="eastAsia"/>
          <w:sz w:val="18"/>
          <w:szCs w:val="18"/>
        </w:rPr>
        <w:t>马娟，等</w:t>
      </w:r>
      <w:r>
        <w:rPr>
          <w:sz w:val="18"/>
          <w:szCs w:val="18"/>
        </w:rPr>
        <w:t>.</w:t>
      </w:r>
      <w:r>
        <w:rPr>
          <w:rFonts w:hint="eastAsia"/>
          <w:sz w:val="18"/>
          <w:szCs w:val="18"/>
        </w:rPr>
        <w:t>中国森林群落分类及其群落学特征</w:t>
      </w:r>
      <w:r>
        <w:rPr>
          <w:sz w:val="18"/>
          <w:szCs w:val="18"/>
        </w:rPr>
        <w:t>[M].北京:</w:t>
      </w:r>
      <w:r>
        <w:rPr>
          <w:rFonts w:hint="eastAsia"/>
          <w:sz w:val="18"/>
          <w:szCs w:val="18"/>
        </w:rPr>
        <w:t>科学出版社</w:t>
      </w:r>
      <w:r>
        <w:rPr>
          <w:sz w:val="18"/>
          <w:szCs w:val="18"/>
        </w:rPr>
        <w:t>, 1998</w:t>
      </w:r>
      <w:r>
        <w:rPr>
          <w:rFonts w:hint="eastAsia"/>
          <w:sz w:val="18"/>
          <w:szCs w:val="18"/>
        </w:rPr>
        <w:t>：</w:t>
      </w:r>
      <w:r>
        <w:rPr>
          <w:sz w:val="18"/>
          <w:szCs w:val="18"/>
        </w:rPr>
        <w:t>12</w:t>
      </w:r>
      <w:r>
        <w:rPr>
          <w:rFonts w:hint="eastAsia"/>
          <w:b/>
          <w:bCs/>
          <w:color w:val="FF0000"/>
          <w:sz w:val="18"/>
          <w:szCs w:val="18"/>
        </w:rPr>
        <w:t>（引用书籍添加引用页数）</w:t>
      </w:r>
      <w:r>
        <w:rPr>
          <w:sz w:val="18"/>
          <w:szCs w:val="18"/>
        </w:rPr>
        <w:t>.</w:t>
      </w:r>
    </w:p>
    <w:p w14:paraId="751D6580">
      <w:pPr>
        <w:ind w:left="270" w:hanging="270" w:hangingChars="150"/>
        <w:rPr>
          <w:rFonts w:cs="Times New Roman" w:eastAsiaTheme="minorEastAsia"/>
          <w:sz w:val="18"/>
          <w:szCs w:val="18"/>
          <w:shd w:val="clear" w:color="auto" w:fill="FFFFFF"/>
        </w:rPr>
      </w:pPr>
      <w:r>
        <w:rPr>
          <w:rFonts w:cs="Times New Roman" w:eastAsiaTheme="minorEastAsia"/>
          <w:sz w:val="18"/>
          <w:szCs w:val="18"/>
          <w:shd w:val="clear" w:color="auto" w:fill="FFFFFF"/>
        </w:rPr>
        <w:t>[5]</w:t>
      </w:r>
      <w:r>
        <w:rPr>
          <w:rFonts w:cs="Times New Roman" w:hAnsiTheme="minorEastAsia" w:eastAsiaTheme="minorEastAsia"/>
          <w:sz w:val="18"/>
          <w:szCs w:val="18"/>
          <w:shd w:val="clear" w:color="auto" w:fill="FFFFFF"/>
        </w:rPr>
        <w:t>李衡</w:t>
      </w:r>
      <w:r>
        <w:rPr>
          <w:rFonts w:cs="Times New Roman" w:eastAsiaTheme="minorEastAsia"/>
          <w:sz w:val="18"/>
          <w:szCs w:val="18"/>
          <w:shd w:val="clear" w:color="auto" w:fill="FFFFFF"/>
        </w:rPr>
        <w:t xml:space="preserve">. </w:t>
      </w:r>
      <w:r>
        <w:rPr>
          <w:rFonts w:cs="Times New Roman" w:hAnsiTheme="minorEastAsia" w:eastAsiaTheme="minorEastAsia"/>
          <w:sz w:val="18"/>
          <w:szCs w:val="18"/>
          <w:shd w:val="clear" w:color="auto" w:fill="FFFFFF"/>
        </w:rPr>
        <w:t>长江三角洲地区土地利用</w:t>
      </w:r>
      <w:r>
        <w:rPr>
          <w:rFonts w:cs="Times New Roman" w:eastAsiaTheme="minorEastAsia"/>
          <w:sz w:val="18"/>
          <w:szCs w:val="18"/>
          <w:shd w:val="clear" w:color="auto" w:fill="FFFFFF"/>
        </w:rPr>
        <w:t>/</w:t>
      </w:r>
      <w:r>
        <w:rPr>
          <w:rFonts w:cs="Times New Roman" w:hAnsiTheme="minorEastAsia" w:eastAsiaTheme="minorEastAsia"/>
          <w:sz w:val="18"/>
          <w:szCs w:val="18"/>
          <w:shd w:val="clear" w:color="auto" w:fill="FFFFFF"/>
        </w:rPr>
        <w:t>覆被变化及其对洪灾孕灾环境的影响研究</w:t>
      </w:r>
      <w:r>
        <w:rPr>
          <w:rFonts w:cs="Times New Roman" w:eastAsiaTheme="minorEastAsia"/>
          <w:sz w:val="18"/>
          <w:szCs w:val="18"/>
          <w:shd w:val="clear" w:color="auto" w:fill="FFFFFF"/>
        </w:rPr>
        <w:t xml:space="preserve">[D]. </w:t>
      </w:r>
      <w:r>
        <w:rPr>
          <w:rFonts w:cs="Times New Roman" w:hAnsiTheme="minorEastAsia" w:eastAsiaTheme="minorEastAsia"/>
          <w:sz w:val="18"/>
          <w:szCs w:val="18"/>
          <w:shd w:val="clear" w:color="auto" w:fill="FFFFFF"/>
        </w:rPr>
        <w:t>南京</w:t>
      </w:r>
      <w:r>
        <w:rPr>
          <w:rFonts w:cs="Times New Roman" w:eastAsiaTheme="minorEastAsia"/>
          <w:sz w:val="18"/>
          <w:szCs w:val="18"/>
          <w:shd w:val="clear" w:color="auto" w:fill="FFFFFF"/>
        </w:rPr>
        <w:t xml:space="preserve">: </w:t>
      </w:r>
      <w:r>
        <w:rPr>
          <w:rFonts w:cs="Times New Roman" w:hAnsiTheme="minorEastAsia" w:eastAsiaTheme="minorEastAsia"/>
          <w:sz w:val="18"/>
          <w:szCs w:val="18"/>
          <w:shd w:val="clear" w:color="auto" w:fill="FFFFFF"/>
        </w:rPr>
        <w:t>南京大学</w:t>
      </w:r>
      <w:r>
        <w:rPr>
          <w:rFonts w:cs="Times New Roman" w:eastAsiaTheme="minorEastAsia"/>
          <w:sz w:val="18"/>
          <w:szCs w:val="18"/>
          <w:shd w:val="clear" w:color="auto" w:fill="FFFFFF"/>
        </w:rPr>
        <w:t>,2012: 14-17.</w:t>
      </w:r>
    </w:p>
    <w:p w14:paraId="0C66721A">
      <w:pPr>
        <w:ind w:left="360" w:hanging="360" w:hangingChars="200"/>
        <w:rPr>
          <w:rFonts w:cs="Times New Roman" w:eastAsiaTheme="minorEastAsia"/>
          <w:color w:val="000000"/>
          <w:sz w:val="18"/>
          <w:szCs w:val="18"/>
        </w:rPr>
      </w:pPr>
      <w:r>
        <w:rPr>
          <w:rFonts w:cs="Times New Roman" w:eastAsiaTheme="minorEastAsia"/>
          <w:color w:val="000000"/>
          <w:sz w:val="18"/>
          <w:szCs w:val="18"/>
        </w:rPr>
        <w:t>[6] 中华人民共和国国家质量监督检验检疫总局, 中国国家标准化管理委员会. 土地利用现状分类: GB/T 21010—2017</w:t>
      </w:r>
      <w:r>
        <w:rPr>
          <w:rFonts w:cs="Times New Roman"/>
          <w:b/>
          <w:bCs/>
          <w:color w:val="FF0000"/>
          <w:sz w:val="18"/>
          <w:szCs w:val="18"/>
        </w:rPr>
        <w:t>（标准号放于标准名称后面，用冒号隔开）</w:t>
      </w:r>
      <w:r>
        <w:rPr>
          <w:rFonts w:cs="Times New Roman" w:eastAsiaTheme="minorEastAsia"/>
          <w:color w:val="000000"/>
          <w:sz w:val="18"/>
          <w:szCs w:val="18"/>
        </w:rPr>
        <w:t>[S]. 北京: 中国标准出版社, 2017.</w:t>
      </w:r>
    </w:p>
    <w:p w14:paraId="058D0730">
      <w:pPr>
        <w:ind w:left="270" w:hanging="270" w:hangingChars="150"/>
        <w:rPr>
          <w:rFonts w:cs="Times New Roman" w:eastAsiaTheme="minorEastAsia"/>
          <w:sz w:val="18"/>
          <w:szCs w:val="18"/>
          <w:shd w:val="clear" w:color="auto" w:fill="FFFFFF"/>
        </w:rPr>
      </w:pPr>
      <w:r>
        <w:rPr>
          <w:rFonts w:cs="Times New Roman" w:eastAsiaTheme="minorEastAsia"/>
          <w:sz w:val="18"/>
          <w:szCs w:val="18"/>
          <w:shd w:val="clear" w:color="auto" w:fill="FFFFFF"/>
        </w:rPr>
        <w:t>[7] ZENG T J, WANG C J. SVM-based land use/cover classification in Shihezi area[C]//2016 Progress in Electromagnetic Research Symposium (PIERS). August 8-11, 2016, Shanghai, China. IEEE, 2016: 2077-2079.</w:t>
      </w:r>
    </w:p>
    <w:p w14:paraId="2DF56223">
      <w:pPr>
        <w:ind w:left="270" w:hanging="270" w:hangingChars="150"/>
        <w:rPr>
          <w:rFonts w:cs="Times New Roman" w:eastAsiaTheme="minorEastAsia"/>
          <w:color w:val="000000"/>
          <w:sz w:val="18"/>
          <w:szCs w:val="18"/>
        </w:rPr>
      </w:pPr>
      <w:r>
        <w:rPr>
          <w:rFonts w:hint="eastAsia" w:cs="Times New Roman" w:eastAsiaTheme="minorEastAsia"/>
          <w:color w:val="000000"/>
          <w:sz w:val="18"/>
          <w:szCs w:val="18"/>
        </w:rPr>
        <w:t>[8] 李鸿培, 于旸, 忽朝俭, 等. 2013工业控制系统及其安全性研究报告 [R]. 北京: 绿盟科技, 2013.</w:t>
      </w:r>
    </w:p>
    <w:p w14:paraId="54A0A9C4">
      <w:pPr>
        <w:ind w:left="270" w:hanging="270" w:hangingChars="150"/>
        <w:jc w:val="left"/>
        <w:rPr>
          <w:rFonts w:cs="Times New Roman" w:eastAsiaTheme="minorEastAsia"/>
          <w:color w:val="000000"/>
          <w:sz w:val="18"/>
          <w:szCs w:val="18"/>
        </w:rPr>
      </w:pPr>
      <w:r>
        <w:rPr>
          <w:rFonts w:hint="eastAsia" w:cs="Times New Roman" w:eastAsiaTheme="minorEastAsia"/>
          <w:color w:val="000000"/>
          <w:sz w:val="18"/>
          <w:szCs w:val="18"/>
        </w:rPr>
        <w:t>[</w:t>
      </w:r>
      <w:r>
        <w:rPr>
          <w:rFonts w:cs="Times New Roman" w:eastAsiaTheme="minorEastAsia"/>
          <w:color w:val="000000"/>
          <w:sz w:val="18"/>
          <w:szCs w:val="18"/>
        </w:rPr>
        <w:t>9</w:t>
      </w:r>
      <w:r>
        <w:rPr>
          <w:rFonts w:hint="eastAsia" w:cs="Times New Roman" w:eastAsiaTheme="minorEastAsia"/>
          <w:color w:val="000000"/>
          <w:sz w:val="18"/>
          <w:szCs w:val="18"/>
        </w:rPr>
        <w:t>] 张凯军. 轨道火车及高速轨道火车紧急安全制动辅助装置：2</w:t>
      </w:r>
      <w:r>
        <w:rPr>
          <w:rFonts w:cs="Times New Roman" w:eastAsiaTheme="minorEastAsia"/>
          <w:color w:val="000000"/>
          <w:sz w:val="18"/>
          <w:szCs w:val="18"/>
        </w:rPr>
        <w:t>01220158825.2</w:t>
      </w:r>
      <w:r>
        <w:rPr>
          <w:rFonts w:hint="eastAsia" w:cs="Times New Roman" w:eastAsiaTheme="minorEastAsia"/>
          <w:color w:val="000000"/>
          <w:sz w:val="18"/>
          <w:szCs w:val="18"/>
        </w:rPr>
        <w:t xml:space="preserve"> [</w:t>
      </w:r>
      <w:r>
        <w:rPr>
          <w:rFonts w:cs="Times New Roman" w:eastAsiaTheme="minorEastAsia"/>
          <w:color w:val="000000"/>
          <w:sz w:val="18"/>
          <w:szCs w:val="18"/>
        </w:rPr>
        <w:t>P</w:t>
      </w:r>
      <w:r>
        <w:rPr>
          <w:rFonts w:hint="eastAsia" w:cs="Times New Roman" w:eastAsiaTheme="minorEastAsia"/>
          <w:color w:val="000000"/>
          <w:sz w:val="18"/>
          <w:szCs w:val="18"/>
        </w:rPr>
        <w:t xml:space="preserve">]. </w:t>
      </w:r>
      <w:r>
        <w:rPr>
          <w:rFonts w:cs="Times New Roman" w:eastAsiaTheme="minorEastAsia"/>
          <w:color w:val="000000"/>
          <w:sz w:val="18"/>
          <w:szCs w:val="18"/>
        </w:rPr>
        <w:t>2012</w:t>
      </w:r>
      <w:r>
        <w:rPr>
          <w:rFonts w:hint="eastAsia" w:cs="Times New Roman" w:eastAsiaTheme="minorEastAsia"/>
          <w:color w:val="000000"/>
          <w:sz w:val="18"/>
          <w:szCs w:val="18"/>
        </w:rPr>
        <w:t>-0</w:t>
      </w:r>
      <w:r>
        <w:rPr>
          <w:rFonts w:cs="Times New Roman" w:eastAsiaTheme="minorEastAsia"/>
          <w:color w:val="000000"/>
          <w:sz w:val="18"/>
          <w:szCs w:val="18"/>
        </w:rPr>
        <w:t>4</w:t>
      </w:r>
      <w:r>
        <w:rPr>
          <w:rFonts w:hint="eastAsia" w:cs="Times New Roman" w:eastAsiaTheme="minorEastAsia"/>
          <w:color w:val="000000"/>
          <w:sz w:val="18"/>
          <w:szCs w:val="18"/>
        </w:rPr>
        <w:t>-</w:t>
      </w:r>
      <w:r>
        <w:rPr>
          <w:rFonts w:cs="Times New Roman" w:eastAsiaTheme="minorEastAsia"/>
          <w:color w:val="000000"/>
          <w:sz w:val="18"/>
          <w:szCs w:val="18"/>
        </w:rPr>
        <w:t>05.</w:t>
      </w:r>
    </w:p>
    <w:p w14:paraId="6EBF41EF">
      <w:pPr>
        <w:ind w:left="270" w:hanging="270" w:hangingChars="150"/>
        <w:jc w:val="left"/>
        <w:rPr>
          <w:rFonts w:cs="Times New Roman" w:eastAsiaTheme="minorEastAsia"/>
          <w:color w:val="000000"/>
          <w:sz w:val="18"/>
          <w:szCs w:val="18"/>
        </w:rPr>
      </w:pPr>
      <w:r>
        <w:rPr>
          <w:rFonts w:hint="eastAsia" w:cs="Times New Roman" w:eastAsiaTheme="minorEastAsia"/>
          <w:color w:val="000000"/>
          <w:sz w:val="18"/>
          <w:szCs w:val="18"/>
        </w:rPr>
        <w:t>[</w:t>
      </w:r>
      <w:r>
        <w:rPr>
          <w:rFonts w:cs="Times New Roman" w:eastAsiaTheme="minorEastAsia"/>
          <w:color w:val="000000"/>
          <w:sz w:val="18"/>
          <w:szCs w:val="18"/>
        </w:rPr>
        <w:t>10</w:t>
      </w:r>
      <w:r>
        <w:rPr>
          <w:rFonts w:hint="eastAsia" w:cs="Times New Roman" w:eastAsiaTheme="minorEastAsia"/>
          <w:color w:val="000000"/>
          <w:sz w:val="18"/>
          <w:szCs w:val="18"/>
        </w:rPr>
        <w:t>]张田勤. 罪犯D</w:t>
      </w:r>
      <w:r>
        <w:rPr>
          <w:rFonts w:cs="Times New Roman" w:eastAsiaTheme="minorEastAsia"/>
          <w:color w:val="000000"/>
          <w:sz w:val="18"/>
          <w:szCs w:val="18"/>
        </w:rPr>
        <w:t>NA</w:t>
      </w:r>
      <w:r>
        <w:rPr>
          <w:rFonts w:hint="eastAsia" w:cs="Times New Roman" w:eastAsiaTheme="minorEastAsia"/>
          <w:color w:val="000000"/>
          <w:sz w:val="18"/>
          <w:szCs w:val="18"/>
        </w:rPr>
        <w:t>库与生命伦理学计划[</w:t>
      </w:r>
      <w:r>
        <w:rPr>
          <w:rFonts w:cs="Times New Roman" w:eastAsiaTheme="minorEastAsia"/>
          <w:color w:val="000000"/>
          <w:sz w:val="18"/>
          <w:szCs w:val="18"/>
        </w:rPr>
        <w:t>N</w:t>
      </w:r>
      <w:r>
        <w:rPr>
          <w:rFonts w:hint="eastAsia" w:cs="Times New Roman" w:eastAsiaTheme="minorEastAsia"/>
          <w:color w:val="000000"/>
          <w:sz w:val="18"/>
          <w:szCs w:val="18"/>
        </w:rPr>
        <w:t>].大众科技报，2</w:t>
      </w:r>
      <w:r>
        <w:rPr>
          <w:rFonts w:cs="Times New Roman" w:eastAsiaTheme="minorEastAsia"/>
          <w:color w:val="000000"/>
          <w:sz w:val="18"/>
          <w:szCs w:val="18"/>
        </w:rPr>
        <w:t>000</w:t>
      </w:r>
      <w:r>
        <w:rPr>
          <w:rFonts w:hint="eastAsia" w:cs="Times New Roman" w:eastAsiaTheme="minorEastAsia"/>
          <w:color w:val="000000"/>
          <w:sz w:val="18"/>
          <w:szCs w:val="18"/>
        </w:rPr>
        <w:t>-</w:t>
      </w:r>
      <w:r>
        <w:rPr>
          <w:rFonts w:cs="Times New Roman" w:eastAsiaTheme="minorEastAsia"/>
          <w:color w:val="000000"/>
          <w:sz w:val="18"/>
          <w:szCs w:val="18"/>
        </w:rPr>
        <w:t>11</w:t>
      </w:r>
      <w:r>
        <w:rPr>
          <w:rFonts w:hint="eastAsia" w:cs="Times New Roman" w:eastAsiaTheme="minorEastAsia"/>
          <w:color w:val="000000"/>
          <w:sz w:val="18"/>
          <w:szCs w:val="18"/>
        </w:rPr>
        <w:t>-</w:t>
      </w:r>
      <w:r>
        <w:rPr>
          <w:rFonts w:cs="Times New Roman" w:eastAsiaTheme="minorEastAsia"/>
          <w:color w:val="000000"/>
          <w:sz w:val="18"/>
          <w:szCs w:val="18"/>
        </w:rPr>
        <w:t>12</w:t>
      </w:r>
      <w:r>
        <w:rPr>
          <w:rFonts w:hint="eastAsia" w:cs="Times New Roman" w:eastAsiaTheme="minorEastAsia"/>
          <w:color w:val="000000"/>
          <w:sz w:val="18"/>
          <w:szCs w:val="18"/>
        </w:rPr>
        <w:t>（7）</w:t>
      </w:r>
      <w:r>
        <w:rPr>
          <w:rFonts w:cs="Times New Roman" w:eastAsiaTheme="minorEastAsia"/>
          <w:color w:val="000000"/>
          <w:sz w:val="18"/>
          <w:szCs w:val="18"/>
        </w:rPr>
        <w:t>.</w:t>
      </w:r>
    </w:p>
    <w:p w14:paraId="0BB41519">
      <w:pPr>
        <w:wordWrap w:val="0"/>
        <w:ind w:left="270" w:hanging="270" w:hangingChars="150"/>
        <w:jc w:val="left"/>
        <w:rPr>
          <w:rFonts w:cs="Times New Roman" w:eastAsiaTheme="minorEastAsia"/>
          <w:color w:val="000000"/>
          <w:sz w:val="18"/>
          <w:szCs w:val="18"/>
        </w:rPr>
      </w:pPr>
      <w:r>
        <w:rPr>
          <w:rFonts w:hint="eastAsia" w:cs="Times New Roman" w:eastAsiaTheme="minorEastAsia"/>
          <w:color w:val="000000"/>
          <w:sz w:val="18"/>
          <w:szCs w:val="18"/>
        </w:rPr>
        <w:t>[</w:t>
      </w:r>
      <w:r>
        <w:rPr>
          <w:rFonts w:cs="Times New Roman" w:eastAsiaTheme="minorEastAsia"/>
          <w:color w:val="000000"/>
          <w:sz w:val="18"/>
          <w:szCs w:val="18"/>
        </w:rPr>
        <w:t>11</w:t>
      </w:r>
      <w:r>
        <w:rPr>
          <w:rFonts w:hint="eastAsia" w:cs="Times New Roman" w:eastAsiaTheme="minorEastAsia"/>
          <w:color w:val="000000"/>
          <w:sz w:val="18"/>
          <w:szCs w:val="18"/>
        </w:rPr>
        <w:t>]</w:t>
      </w:r>
      <w:r>
        <w:rPr>
          <w:rFonts w:cs="Times New Roman" w:eastAsiaTheme="minorEastAsia"/>
          <w:color w:val="000000"/>
          <w:sz w:val="18"/>
          <w:szCs w:val="18"/>
        </w:rPr>
        <w:t>萧钰</w:t>
      </w:r>
      <w:r>
        <w:rPr>
          <w:rFonts w:hint="eastAsia" w:cs="Times New Roman" w:eastAsiaTheme="minorEastAsia"/>
          <w:color w:val="000000"/>
          <w:sz w:val="18"/>
          <w:szCs w:val="18"/>
        </w:rPr>
        <w:t>.</w:t>
      </w:r>
      <w:r>
        <w:rPr>
          <w:rFonts w:cs="Times New Roman" w:eastAsiaTheme="minorEastAsia"/>
          <w:color w:val="000000"/>
          <w:sz w:val="18"/>
          <w:szCs w:val="18"/>
        </w:rPr>
        <w:t>出版业信息化迈入快车道</w:t>
      </w:r>
      <w:r>
        <w:rPr>
          <w:rFonts w:cs="Times New Roman" w:eastAsiaTheme="minorEastAsia"/>
          <w:color w:val="000000"/>
          <w:spacing w:val="0"/>
          <w:w w:val="75"/>
          <w:kern w:val="0"/>
          <w:sz w:val="18"/>
          <w:szCs w:val="18"/>
          <w:fitText w:val="481" w:id="-1539617278"/>
        </w:rPr>
        <w:t>[EB/OL</w:t>
      </w:r>
      <w:r>
        <w:rPr>
          <w:rFonts w:cs="Times New Roman" w:eastAsiaTheme="minorEastAsia"/>
          <w:color w:val="000000"/>
          <w:spacing w:val="1"/>
          <w:w w:val="75"/>
          <w:kern w:val="0"/>
          <w:sz w:val="18"/>
          <w:szCs w:val="18"/>
          <w:fitText w:val="481" w:id="-1539617278"/>
        </w:rPr>
        <w:t>]</w:t>
      </w:r>
      <w:r>
        <w:rPr>
          <w:rFonts w:cs="Times New Roman" w:eastAsiaTheme="minorEastAsia"/>
          <w:color w:val="000000"/>
          <w:sz w:val="18"/>
          <w:szCs w:val="18"/>
        </w:rPr>
        <w:t>.(2001-12-19)[2002-04-15]</w:t>
      </w:r>
      <w:r>
        <w:rPr>
          <w:rFonts w:cs="Times New Roman"/>
          <w:b/>
          <w:bCs/>
          <w:color w:val="FF0000"/>
          <w:sz w:val="18"/>
          <w:szCs w:val="18"/>
        </w:rPr>
        <w:t>（中括号内为引用日期，网络OL文献必须给出引用日期）</w:t>
      </w:r>
      <w:r>
        <w:rPr>
          <w:rFonts w:cs="Times New Roman" w:eastAsiaTheme="minorEastAsia"/>
          <w:color w:val="000000"/>
          <w:sz w:val="18"/>
          <w:szCs w:val="18"/>
        </w:rPr>
        <w:t>.http://</w:t>
      </w:r>
      <w:r>
        <w:fldChar w:fldCharType="begin"/>
      </w:r>
      <w:r>
        <w:instrText xml:space="preserve"> HYPERLINK "http://www.creader.com/news/20011219/200112190019.html" </w:instrText>
      </w:r>
      <w:r>
        <w:fldChar w:fldCharType="separate"/>
      </w:r>
      <w:r>
        <w:rPr>
          <w:rStyle w:val="15"/>
          <w:rFonts w:cs="Times New Roman" w:eastAsiaTheme="minorEastAsia"/>
          <w:sz w:val="18"/>
          <w:szCs w:val="18"/>
        </w:rPr>
        <w:t>www.creader.com/news/20011219/200112190019.html</w:t>
      </w:r>
      <w:r>
        <w:rPr>
          <w:rStyle w:val="15"/>
          <w:rFonts w:cs="Times New Roman" w:eastAsiaTheme="minorEastAsia"/>
          <w:sz w:val="18"/>
          <w:szCs w:val="18"/>
        </w:rPr>
        <w:fldChar w:fldCharType="end"/>
      </w:r>
    </w:p>
    <w:p w14:paraId="46136529">
      <w:pPr>
        <w:ind w:firstLine="420"/>
        <w:rPr>
          <w:color w:val="FF0000"/>
        </w:rPr>
      </w:pPr>
    </w:p>
    <w:p w14:paraId="38D08152">
      <w:pPr>
        <w:ind w:firstLine="420"/>
        <w:rPr>
          <w:rFonts w:cs="Times New Roman" w:eastAsiaTheme="minorEastAsia"/>
          <w:color w:val="FF0000"/>
          <w:szCs w:val="21"/>
        </w:rPr>
      </w:pPr>
      <w:r>
        <w:rPr>
          <w:rFonts w:hint="eastAsia"/>
          <w:color w:val="FF0000"/>
          <w:szCs w:val="21"/>
        </w:rPr>
        <w:t>注</w:t>
      </w:r>
      <w:r>
        <w:rPr>
          <w:rFonts w:hint="eastAsia" w:cs="Times New Roman" w:eastAsiaTheme="minorEastAsia"/>
          <w:color w:val="FF0000"/>
          <w:szCs w:val="21"/>
        </w:rPr>
        <w:t>：请在文后注明联系作者的地址、邮编、手机及</w:t>
      </w:r>
      <w:r>
        <w:rPr>
          <w:rFonts w:cs="Times New Roman" w:eastAsiaTheme="minorEastAsia"/>
          <w:color w:val="FF0000"/>
          <w:szCs w:val="21"/>
        </w:rPr>
        <w:t>E-mail</w:t>
      </w:r>
      <w:r>
        <w:rPr>
          <w:rFonts w:hint="eastAsia" w:cs="Times New Roman" w:eastAsiaTheme="minorEastAsia"/>
          <w:color w:val="FF0000"/>
          <w:szCs w:val="21"/>
        </w:rPr>
        <w:t>（确保联系方式正确）。联系方式如有变更，请及时通知编辑部。</w:t>
      </w:r>
    </w:p>
    <w:p w14:paraId="1C24907E">
      <w:pPr>
        <w:ind w:left="270" w:hanging="270" w:hangingChars="150"/>
        <w:rPr>
          <w:rFonts w:cs="Times New Roman" w:eastAsiaTheme="minorEastAsia"/>
          <w:color w:val="000000"/>
          <w:sz w:val="18"/>
          <w:szCs w:val="18"/>
        </w:rPr>
      </w:pPr>
    </w:p>
    <w:p w14:paraId="39EF9FEE">
      <w:pPr>
        <w:ind w:left="270" w:hanging="270" w:hangingChars="150"/>
        <w:rPr>
          <w:rFonts w:cs="Times New Roman" w:eastAsiaTheme="minorEastAsia"/>
          <w:sz w:val="18"/>
          <w:szCs w:val="18"/>
          <w:shd w:val="clear" w:color="auto" w:fill="FFFFFF"/>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EB13">
    <w:pPr>
      <w:pStyle w:val="6"/>
      <w:ind w:firstLineChars="1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3258D">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D507B">
    <w:pPr>
      <w:pStyle w:val="8"/>
      <w:wordWrap w:val="0"/>
      <w:ind w:firstLine="0" w:firstLineChars="0"/>
      <w:rPr>
        <w:rFonts w:ascii="宋体" w:hAnsi="宋体"/>
        <w:u w:val="single"/>
      </w:rPr>
    </w:pPr>
    <w:r>
      <w:rPr>
        <w:rStyle w:val="16"/>
        <w:rFonts w:ascii="宋体" w:hAnsi="宋体"/>
      </w:rPr>
      <w:sym w:font="Symbol" w:char="F020"/>
    </w:r>
  </w:p>
  <w:p w14:paraId="5B3DEACB">
    <w:pPr>
      <w:pStyle w:val="8"/>
      <w:wordWrap w:val="0"/>
      <w:ind w:firstLine="0" w:firstLineChars="0"/>
      <w:rPr>
        <w:rFonts w:ascii="宋体" w:hAnsi="宋体"/>
      </w:rPr>
    </w:pPr>
    <w:r>
      <w:rPr>
        <w:rFonts w:hint="eastAsia" w:ascii="宋体" w:hAnsi="宋体"/>
        <w:b/>
      </w:rPr>
      <w:t>收稿日期：</w:t>
    </w:r>
    <w:r>
      <w:rPr>
        <w:rFonts w:ascii="宋体" w:hAnsi="宋体"/>
      </w:rPr>
      <w:t>yyyy</w:t>
    </w:r>
    <w:r>
      <w:rPr>
        <w:rFonts w:hint="eastAsia" w:ascii="宋体" w:hAnsi="宋体"/>
      </w:rPr>
      <w:t>-</w:t>
    </w:r>
    <w:r>
      <w:rPr>
        <w:rFonts w:ascii="宋体" w:hAnsi="宋体"/>
      </w:rPr>
      <w:t>mm</w:t>
    </w:r>
    <w:r>
      <w:rPr>
        <w:rFonts w:hint="eastAsia" w:ascii="宋体" w:hAnsi="宋体"/>
      </w:rPr>
      <w:t>-</w:t>
    </w:r>
    <w:r>
      <w:rPr>
        <w:rFonts w:ascii="宋体" w:hAnsi="宋体"/>
      </w:rPr>
      <w:t>dd</w:t>
    </w:r>
  </w:p>
  <w:p w14:paraId="52F2063A">
    <w:pPr>
      <w:wordWrap w:val="0"/>
      <w:ind w:left="882" w:hanging="882" w:hangingChars="488"/>
      <w:jc w:val="left"/>
      <w:rPr>
        <w:color w:val="FF0000"/>
        <w:sz w:val="16"/>
      </w:rPr>
    </w:pPr>
    <w:r>
      <w:rPr>
        <w:rFonts w:hint="eastAsia"/>
        <w:b/>
        <w:sz w:val="18"/>
        <w:szCs w:val="18"/>
      </w:rPr>
      <w:t>基金项目</w:t>
    </w:r>
    <w:r>
      <w:rPr>
        <w:rFonts w:hint="eastAsia"/>
        <w:b/>
      </w:rPr>
      <w:t>：</w:t>
    </w:r>
    <w:r>
      <w:rPr>
        <w:rFonts w:hint="eastAsia"/>
        <w:color w:val="FF0000"/>
        <w:sz w:val="16"/>
      </w:rPr>
      <w:t>省部级以上基金项目类别（项目编号），各基金项目之间以“；”分隔</w:t>
    </w:r>
  </w:p>
  <w:p w14:paraId="3ABBF566">
    <w:pPr>
      <w:pStyle w:val="8"/>
      <w:wordWrap w:val="0"/>
      <w:ind w:firstLine="0" w:firstLineChars="0"/>
      <w:rPr>
        <w:rFonts w:cs="Times New Roman"/>
        <w:color w:val="FF0000"/>
        <w:sz w:val="16"/>
      </w:rPr>
    </w:pPr>
    <w:r>
      <w:rPr>
        <w:rFonts w:hint="eastAsia"/>
        <w:b/>
      </w:rPr>
      <w:t>作者简介</w:t>
    </w:r>
    <w:r>
      <w:rPr>
        <w:rFonts w:hint="eastAsia"/>
        <w:b/>
        <w:sz w:val="16"/>
      </w:rPr>
      <w:t>：</w:t>
    </w:r>
    <w:r>
      <w:rPr>
        <w:rFonts w:hint="eastAsia"/>
        <w:color w:val="FF0000"/>
        <w:sz w:val="16"/>
      </w:rPr>
      <w:t>第一作者姓名（生年—），性别，籍贯（如：青海</w:t>
    </w:r>
    <w:r>
      <w:rPr>
        <w:rFonts w:hint="eastAsia"/>
        <w:color w:val="FF0000"/>
        <w:sz w:val="16"/>
        <w:lang w:val="en-US" w:eastAsia="zh-CN"/>
      </w:rPr>
      <w:t>籍</w:t>
    </w:r>
    <w:r>
      <w:rPr>
        <w:rFonts w:hint="eastAsia"/>
        <w:color w:val="FF0000"/>
        <w:sz w:val="16"/>
      </w:rPr>
      <w:t>），xx大学在读硕士研究生。</w:t>
    </w:r>
    <w:r>
      <w:rPr>
        <w:rFonts w:hint="eastAsia" w:cs="Times New Roman"/>
        <w:color w:val="FF0000"/>
        <w:sz w:val="16"/>
      </w:rPr>
      <w:t>*</w:t>
    </w:r>
    <w:r>
      <w:rPr>
        <w:rFonts w:hint="eastAsia" w:cs="Times New Roman"/>
        <w:color w:val="FF0000"/>
        <w:sz w:val="16"/>
        <w:lang w:eastAsia="zh-CN"/>
      </w:rPr>
      <w:t>：</w:t>
    </w:r>
    <w:r>
      <w:rPr>
        <w:rFonts w:cs="Times New Roman"/>
        <w:color w:val="FF0000"/>
        <w:sz w:val="16"/>
      </w:rPr>
      <w:t>通信作者</w:t>
    </w:r>
    <w:r>
      <w:rPr>
        <w:rFonts w:hint="eastAsia" w:cs="Times New Roman"/>
        <w:color w:val="FF0000"/>
        <w:sz w:val="16"/>
      </w:rPr>
      <w:t>，</w:t>
    </w:r>
    <w:r>
      <w:rPr>
        <w:rFonts w:hint="eastAsia" w:cs="Times New Roman"/>
        <w:color w:val="FF0000"/>
        <w:sz w:val="16"/>
        <w:lang w:val="en-US" w:eastAsia="zh-CN"/>
      </w:rPr>
      <w:t>博士，硕士生导师。研究方向：....。</w:t>
    </w:r>
    <w:r>
      <w:rPr>
        <w:rFonts w:hint="eastAsia" w:cs="Times New Roman"/>
        <w:color w:val="FF0000"/>
        <w:sz w:val="16"/>
      </w:rPr>
      <w:t>E</w:t>
    </w:r>
    <w:r>
      <w:rPr>
        <w:rFonts w:cs="Times New Roman"/>
        <w:color w:val="FF0000"/>
        <w:sz w:val="16"/>
      </w:rPr>
      <w:t>-mail:</w:t>
    </w:r>
    <w:r>
      <w:rPr>
        <w:rFonts w:hint="eastAsia" w:cs="Times New Roman"/>
        <w:color w:val="FF0000"/>
        <w:sz w:val="16"/>
        <w:lang w:val="en-US" w:eastAsia="zh-CN"/>
      </w:rPr>
      <w:t>......。</w:t>
    </w:r>
    <w:r>
      <w:rPr>
        <w:rFonts w:hint="eastAsia" w:cs="Times New Roman"/>
        <w:b/>
        <w:bCs/>
        <w:color w:val="FF0000"/>
      </w:rPr>
      <w:t>或：</w:t>
    </w:r>
    <w:r>
      <w:rPr>
        <w:rFonts w:hint="eastAsia"/>
        <w:color w:val="FF0000"/>
        <w:sz w:val="16"/>
      </w:rPr>
      <w:t>第一作者姓名（生年—），性别，籍贯（如：青海</w:t>
    </w:r>
    <w:r>
      <w:rPr>
        <w:rFonts w:hint="eastAsia"/>
        <w:color w:val="FF0000"/>
        <w:sz w:val="16"/>
        <w:lang w:val="en-US" w:eastAsia="zh-CN"/>
      </w:rPr>
      <w:t>籍</w:t>
    </w:r>
    <w:r>
      <w:rPr>
        <w:rFonts w:hint="eastAsia"/>
        <w:color w:val="FF0000"/>
        <w:sz w:val="16"/>
      </w:rPr>
      <w:t>），职称或学历，研究方向：。</w:t>
    </w:r>
    <w:r>
      <w:rPr>
        <w:rFonts w:hint="eastAsia" w:cs="Times New Roman"/>
        <w:color w:val="FF0000"/>
        <w:sz w:val="16"/>
      </w:rPr>
      <w:t>*</w:t>
    </w:r>
    <w:r>
      <w:rPr>
        <w:rFonts w:hint="eastAsia" w:cs="Times New Roman"/>
        <w:color w:val="FF0000"/>
        <w:sz w:val="16"/>
        <w:lang w:eastAsia="zh-CN"/>
      </w:rPr>
      <w:t>：</w:t>
    </w:r>
    <w:r>
      <w:rPr>
        <w:rFonts w:cs="Times New Roman"/>
        <w:color w:val="FF0000"/>
        <w:sz w:val="16"/>
      </w:rPr>
      <w:t>通信作者</w:t>
    </w:r>
    <w:r>
      <w:rPr>
        <w:rFonts w:hint="eastAsia" w:cs="Times New Roman"/>
        <w:color w:val="FF0000"/>
        <w:sz w:val="16"/>
      </w:rPr>
      <w:t>，</w:t>
    </w:r>
    <w:r>
      <w:rPr>
        <w:rFonts w:hint="eastAsia" w:cs="Times New Roman"/>
        <w:color w:val="FF0000"/>
        <w:sz w:val="16"/>
        <w:lang w:val="en-US" w:eastAsia="zh-CN"/>
      </w:rPr>
      <w:t>博士，硕士生导师。研究方向：....。</w:t>
    </w:r>
    <w:r>
      <w:rPr>
        <w:rFonts w:hint="eastAsia" w:cs="Times New Roman"/>
        <w:color w:val="FF0000"/>
        <w:sz w:val="16"/>
      </w:rPr>
      <w:t>E</w:t>
    </w:r>
    <w:r>
      <w:rPr>
        <w:rFonts w:cs="Times New Roman"/>
        <w:color w:val="FF0000"/>
        <w:sz w:val="16"/>
      </w:rPr>
      <w:t>-mail:</w:t>
    </w:r>
    <w:r>
      <w:rPr>
        <w:rFonts w:hint="eastAsia" w:cs="Times New Roman"/>
        <w:color w:val="FF0000"/>
        <w:sz w:val="16"/>
        <w:lang w:val="en-US" w:eastAsia="zh-CN"/>
      </w:rPr>
      <w:t>......。</w:t>
    </w:r>
  </w:p>
  <w:p w14:paraId="54C8AAB4">
    <w:pPr>
      <w:pStyle w:val="8"/>
      <w:wordWrap w:val="0"/>
      <w:ind w:firstLine="542" w:firstLineChars="300"/>
      <w:rPr>
        <w:rFonts w:cs="Times New Roman"/>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C9FBF">
    <w:pPr>
      <w:pStyle w:val="7"/>
      <w:spacing w:line="280" w:lineRule="exact"/>
      <w:ind w:firstLine="379" w:firstLineChars="211"/>
      <w:jc w:val="both"/>
      <w:rPr>
        <w:rFonts w:cs="Times New Roman" w:eastAsiaTheme="minorEastAsia"/>
      </w:rPr>
    </w:pPr>
    <w:r>
      <w:rPr>
        <w:rFonts w:cs="Times New Roman" w:hAnsiTheme="minorEastAsia" w:eastAsiaTheme="minorEastAsia"/>
      </w:rPr>
      <w:t>第</w:t>
    </w:r>
    <w:r>
      <w:rPr>
        <w:rFonts w:hint="eastAsia" w:cs="Times New Roman" w:eastAsiaTheme="minorEastAsia"/>
      </w:rPr>
      <w:t>x</w:t>
    </w:r>
    <w:r>
      <w:rPr>
        <w:rFonts w:cs="Times New Roman" w:hAnsiTheme="minorEastAsia" w:eastAsiaTheme="minorEastAsia"/>
      </w:rPr>
      <w:t>卷第</w:t>
    </w:r>
    <w:r>
      <w:rPr>
        <w:rFonts w:cs="Times New Roman" w:eastAsiaTheme="minorEastAsia"/>
      </w:rPr>
      <w:t>x</w:t>
    </w:r>
    <w:r>
      <w:rPr>
        <w:rFonts w:cs="Times New Roman" w:hAnsiTheme="minorEastAsia" w:eastAsiaTheme="minorEastAsia"/>
      </w:rPr>
      <w:t>期青海大学学报</w:t>
    </w:r>
    <w:r>
      <w:rPr>
        <w:rFonts w:cs="Times New Roman" w:eastAsiaTheme="minorEastAsia"/>
      </w:rPr>
      <w:t>Vol.xNo.x</w:t>
    </w:r>
  </w:p>
  <w:p w14:paraId="1B4A5DA1">
    <w:pPr>
      <w:pStyle w:val="7"/>
      <w:spacing w:line="280" w:lineRule="exact"/>
      <w:ind w:firstLine="450" w:firstLineChars="250"/>
      <w:jc w:val="both"/>
      <w:rPr>
        <w:rFonts w:cs="Times New Roman" w:eastAsiaTheme="minorEastAsia"/>
      </w:rPr>
    </w:pPr>
    <w:r>
      <w:rPr>
        <w:rFonts w:cs="Times New Roman" w:eastAsiaTheme="minorEastAsia"/>
      </w:rPr>
      <w:t>202x</w:t>
    </w:r>
    <w:r>
      <w:rPr>
        <w:rFonts w:cs="Times New Roman" w:hAnsiTheme="minorEastAsia" w:eastAsiaTheme="minorEastAsia"/>
      </w:rPr>
      <w:t>年</w:t>
    </w:r>
    <w:r>
      <w:rPr>
        <w:rFonts w:cs="Times New Roman" w:eastAsiaTheme="minorEastAsia"/>
      </w:rPr>
      <w:t>x</w:t>
    </w:r>
    <w:r>
      <w:rPr>
        <w:rFonts w:cs="Times New Roman" w:hAnsiTheme="minorEastAsia" w:eastAsiaTheme="minorEastAsia"/>
      </w:rPr>
      <w:t>月</w:t>
    </w:r>
    <w:r>
      <w:rPr>
        <w:rFonts w:cs="Times New Roman" w:eastAsiaTheme="minorEastAsia"/>
      </w:rPr>
      <w:t xml:space="preserve"> Journal of Qinghai University                 Apr. 202x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EECE0">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AD7B8">
    <w:pPr>
      <w:pStyle w:val="7"/>
      <w:spacing w:line="280" w:lineRule="exact"/>
      <w:ind w:firstLine="379" w:firstLineChars="211"/>
      <w:jc w:val="both"/>
      <w:rPr>
        <w:rFonts w:cs="Times New Roman" w:eastAsiaTheme="minorEastAsia"/>
      </w:rPr>
    </w:pPr>
    <w:r>
      <w:rPr>
        <w:rFonts w:cs="Times New Roman" w:hAnsiTheme="minorEastAsia" w:eastAsiaTheme="minorEastAsia"/>
      </w:rPr>
      <w:t>第</w:t>
    </w:r>
    <w:r>
      <w:rPr>
        <w:rFonts w:hint="eastAsia" w:cs="Times New Roman" w:eastAsiaTheme="minorEastAsia"/>
      </w:rPr>
      <w:t>x</w:t>
    </w:r>
    <w:r>
      <w:rPr>
        <w:rFonts w:cs="Times New Roman" w:hAnsiTheme="minorEastAsia" w:eastAsiaTheme="minorEastAsia"/>
      </w:rPr>
      <w:t>卷第</w:t>
    </w:r>
    <w:r>
      <w:rPr>
        <w:rFonts w:cs="Times New Roman" w:eastAsiaTheme="minorEastAsia"/>
      </w:rPr>
      <w:t>x</w:t>
    </w:r>
    <w:r>
      <w:rPr>
        <w:rFonts w:cs="Times New Roman" w:hAnsiTheme="minorEastAsia" w:eastAsiaTheme="minorEastAsia"/>
      </w:rPr>
      <w:t>期青海大学学报</w:t>
    </w:r>
    <w:r>
      <w:rPr>
        <w:rFonts w:cs="Times New Roman" w:eastAsiaTheme="minorEastAsia"/>
      </w:rPr>
      <w:t>Vol.xNo.x</w:t>
    </w:r>
  </w:p>
  <w:p w14:paraId="007814CF">
    <w:pPr>
      <w:pStyle w:val="7"/>
      <w:spacing w:line="280" w:lineRule="exact"/>
      <w:ind w:firstLine="450" w:firstLineChars="250"/>
      <w:jc w:val="both"/>
      <w:rPr>
        <w:rFonts w:cs="Times New Roman" w:eastAsiaTheme="minorEastAsia"/>
      </w:rPr>
    </w:pPr>
    <w:r>
      <w:rPr>
        <w:rFonts w:cs="Times New Roman" w:eastAsiaTheme="minorEastAsia"/>
      </w:rPr>
      <w:t>202x</w:t>
    </w:r>
    <w:r>
      <w:rPr>
        <w:rFonts w:cs="Times New Roman" w:hAnsiTheme="minorEastAsia" w:eastAsiaTheme="minorEastAsia"/>
      </w:rPr>
      <w:t>年</w:t>
    </w:r>
    <w:r>
      <w:rPr>
        <w:rFonts w:cs="Times New Roman" w:eastAsiaTheme="minorEastAsia"/>
      </w:rPr>
      <w:t>x</w:t>
    </w:r>
    <w:r>
      <w:rPr>
        <w:rFonts w:cs="Times New Roman" w:hAnsiTheme="minorEastAsia" w:eastAsiaTheme="minorEastAsia"/>
      </w:rPr>
      <w:t>月</w:t>
    </w:r>
    <w:r>
      <w:rPr>
        <w:rFonts w:cs="Times New Roman" w:eastAsiaTheme="minorEastAsia"/>
      </w:rPr>
      <w:t xml:space="preserve"> Journal of Qinghai University                 Apr. 202x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B1A75"/>
    <w:rsid w:val="00025E84"/>
    <w:rsid w:val="00093BF1"/>
    <w:rsid w:val="0009596F"/>
    <w:rsid w:val="000A4303"/>
    <w:rsid w:val="000B14C3"/>
    <w:rsid w:val="000B2EB2"/>
    <w:rsid w:val="000D0B7A"/>
    <w:rsid w:val="00112F9A"/>
    <w:rsid w:val="0011541E"/>
    <w:rsid w:val="00121C36"/>
    <w:rsid w:val="00145290"/>
    <w:rsid w:val="001647D2"/>
    <w:rsid w:val="001A1AB0"/>
    <w:rsid w:val="001A4938"/>
    <w:rsid w:val="001A5B61"/>
    <w:rsid w:val="001B44CC"/>
    <w:rsid w:val="001D6145"/>
    <w:rsid w:val="00207845"/>
    <w:rsid w:val="0024093B"/>
    <w:rsid w:val="00245241"/>
    <w:rsid w:val="002547EA"/>
    <w:rsid w:val="00261A2A"/>
    <w:rsid w:val="00261B1A"/>
    <w:rsid w:val="002625CD"/>
    <w:rsid w:val="002751BD"/>
    <w:rsid w:val="002B3AAD"/>
    <w:rsid w:val="002C7D81"/>
    <w:rsid w:val="00321741"/>
    <w:rsid w:val="003350CA"/>
    <w:rsid w:val="00366EB8"/>
    <w:rsid w:val="003A0EB1"/>
    <w:rsid w:val="003A4B89"/>
    <w:rsid w:val="003A63BA"/>
    <w:rsid w:val="003B0C30"/>
    <w:rsid w:val="003E4D9E"/>
    <w:rsid w:val="004468AA"/>
    <w:rsid w:val="00462B3A"/>
    <w:rsid w:val="00473D7D"/>
    <w:rsid w:val="004860E0"/>
    <w:rsid w:val="004D1BA0"/>
    <w:rsid w:val="004F5F4B"/>
    <w:rsid w:val="00535DE4"/>
    <w:rsid w:val="00536DE7"/>
    <w:rsid w:val="005438C8"/>
    <w:rsid w:val="00564535"/>
    <w:rsid w:val="005666CE"/>
    <w:rsid w:val="00573385"/>
    <w:rsid w:val="00592D90"/>
    <w:rsid w:val="005A173A"/>
    <w:rsid w:val="005A50E2"/>
    <w:rsid w:val="005F6B08"/>
    <w:rsid w:val="006005DF"/>
    <w:rsid w:val="00601095"/>
    <w:rsid w:val="00647602"/>
    <w:rsid w:val="006557AB"/>
    <w:rsid w:val="00655963"/>
    <w:rsid w:val="00682875"/>
    <w:rsid w:val="00685F3B"/>
    <w:rsid w:val="006A5BC2"/>
    <w:rsid w:val="006C1B06"/>
    <w:rsid w:val="006C25BC"/>
    <w:rsid w:val="006D0FC9"/>
    <w:rsid w:val="006D15C6"/>
    <w:rsid w:val="006D48C5"/>
    <w:rsid w:val="006E2480"/>
    <w:rsid w:val="006E3BDE"/>
    <w:rsid w:val="007037AF"/>
    <w:rsid w:val="00735BB2"/>
    <w:rsid w:val="00737658"/>
    <w:rsid w:val="0075276A"/>
    <w:rsid w:val="007677BF"/>
    <w:rsid w:val="0077472E"/>
    <w:rsid w:val="00784D6C"/>
    <w:rsid w:val="007A0836"/>
    <w:rsid w:val="007F1142"/>
    <w:rsid w:val="007F2C35"/>
    <w:rsid w:val="00814DFC"/>
    <w:rsid w:val="00814EA6"/>
    <w:rsid w:val="00816AC6"/>
    <w:rsid w:val="0084349B"/>
    <w:rsid w:val="00844A9B"/>
    <w:rsid w:val="008613AC"/>
    <w:rsid w:val="008A7DB9"/>
    <w:rsid w:val="008B1A75"/>
    <w:rsid w:val="008D3C05"/>
    <w:rsid w:val="008E3315"/>
    <w:rsid w:val="008E49BA"/>
    <w:rsid w:val="008E5532"/>
    <w:rsid w:val="0094586D"/>
    <w:rsid w:val="0094766D"/>
    <w:rsid w:val="009560C6"/>
    <w:rsid w:val="009A20D8"/>
    <w:rsid w:val="009A7B90"/>
    <w:rsid w:val="009E7763"/>
    <w:rsid w:val="00A238B4"/>
    <w:rsid w:val="00A27086"/>
    <w:rsid w:val="00A4472B"/>
    <w:rsid w:val="00A447B6"/>
    <w:rsid w:val="00A52E71"/>
    <w:rsid w:val="00A65C72"/>
    <w:rsid w:val="00AA4614"/>
    <w:rsid w:val="00AD27EC"/>
    <w:rsid w:val="00AE5854"/>
    <w:rsid w:val="00B042B2"/>
    <w:rsid w:val="00B121EE"/>
    <w:rsid w:val="00B136F8"/>
    <w:rsid w:val="00B172CB"/>
    <w:rsid w:val="00B414F2"/>
    <w:rsid w:val="00B73C5A"/>
    <w:rsid w:val="00BB59A9"/>
    <w:rsid w:val="00BD64BE"/>
    <w:rsid w:val="00BE2F03"/>
    <w:rsid w:val="00BE5E55"/>
    <w:rsid w:val="00C2124E"/>
    <w:rsid w:val="00C25701"/>
    <w:rsid w:val="00C3014E"/>
    <w:rsid w:val="00C31F4A"/>
    <w:rsid w:val="00C64602"/>
    <w:rsid w:val="00CA462D"/>
    <w:rsid w:val="00CD0D98"/>
    <w:rsid w:val="00CF6636"/>
    <w:rsid w:val="00D233C4"/>
    <w:rsid w:val="00D64EEB"/>
    <w:rsid w:val="00DB57DE"/>
    <w:rsid w:val="00DC4244"/>
    <w:rsid w:val="00DD6B17"/>
    <w:rsid w:val="00E15842"/>
    <w:rsid w:val="00E163C6"/>
    <w:rsid w:val="00E24D35"/>
    <w:rsid w:val="00E27651"/>
    <w:rsid w:val="00E570EB"/>
    <w:rsid w:val="00E624D2"/>
    <w:rsid w:val="00E823CB"/>
    <w:rsid w:val="00E92714"/>
    <w:rsid w:val="00ED4630"/>
    <w:rsid w:val="00ED55FF"/>
    <w:rsid w:val="00F01544"/>
    <w:rsid w:val="00F13282"/>
    <w:rsid w:val="00F31C7B"/>
    <w:rsid w:val="00F632AE"/>
    <w:rsid w:val="00F74973"/>
    <w:rsid w:val="00F848EB"/>
    <w:rsid w:val="00FA618C"/>
    <w:rsid w:val="00FC5A86"/>
    <w:rsid w:val="00FD5510"/>
    <w:rsid w:val="34C401D1"/>
    <w:rsid w:val="43EA3A05"/>
    <w:rsid w:val="472810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tLeast"/>
      <w:ind w:firstLine="200" w:firstLineChars="200"/>
      <w:jc w:val="both"/>
    </w:pPr>
    <w:rPr>
      <w:rFonts w:ascii="Times New Roman" w:hAnsi="Times New Roman" w:eastAsia="宋体" w:cstheme="minorBidi"/>
      <w:kern w:val="2"/>
      <w:sz w:val="21"/>
      <w:szCs w:val="22"/>
      <w:lang w:val="en-US" w:eastAsia="zh-CN" w:bidi="ar-SA"/>
    </w:rPr>
  </w:style>
  <w:style w:type="paragraph" w:styleId="2">
    <w:name w:val="heading 1"/>
    <w:basedOn w:val="1"/>
    <w:next w:val="1"/>
    <w:link w:val="21"/>
    <w:qFormat/>
    <w:uiPriority w:val="9"/>
    <w:pPr>
      <w:keepNext/>
      <w:keepLines/>
      <w:ind w:firstLine="0" w:firstLineChars="0"/>
      <w:outlineLvl w:val="0"/>
    </w:pPr>
    <w:rPr>
      <w:b/>
      <w:bCs/>
      <w:kern w:val="44"/>
      <w:sz w:val="24"/>
      <w:szCs w:val="44"/>
    </w:rPr>
  </w:style>
  <w:style w:type="paragraph" w:styleId="3">
    <w:name w:val="heading 2"/>
    <w:basedOn w:val="1"/>
    <w:next w:val="1"/>
    <w:link w:val="22"/>
    <w:unhideWhenUsed/>
    <w:qFormat/>
    <w:uiPriority w:val="9"/>
    <w:pPr>
      <w:keepNext/>
      <w:keepLines/>
      <w:ind w:firstLine="0" w:firstLineChars="0"/>
      <w:outlineLvl w:val="1"/>
    </w:pPr>
    <w:rPr>
      <w:rFonts w:cstheme="majorBidi"/>
      <w:b/>
      <w:bCs/>
      <w:szCs w:val="32"/>
    </w:rPr>
  </w:style>
  <w:style w:type="paragraph" w:styleId="4">
    <w:name w:val="heading 3"/>
    <w:basedOn w:val="1"/>
    <w:next w:val="1"/>
    <w:link w:val="23"/>
    <w:semiHidden/>
    <w:unhideWhenUsed/>
    <w:uiPriority w:val="9"/>
    <w:pPr>
      <w:keepNext/>
      <w:keepLines/>
      <w:spacing w:before="260" w:after="260" w:line="416" w:lineRule="atLeast"/>
      <w:outlineLvl w:val="2"/>
    </w:pPr>
    <w:rPr>
      <w:b/>
      <w:bCs/>
      <w:sz w:val="32"/>
      <w:szCs w:val="32"/>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9"/>
    <w:semiHidden/>
    <w:unhideWhenUsed/>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20"/>
    <w:unhideWhenUsed/>
    <w:qFormat/>
    <w:uiPriority w:val="99"/>
    <w:pPr>
      <w:snapToGrid w:val="0"/>
      <w:jc w:val="left"/>
    </w:pPr>
    <w:rPr>
      <w:sz w:val="18"/>
      <w:szCs w:val="18"/>
    </w:rPr>
  </w:style>
  <w:style w:type="paragraph" w:styleId="9">
    <w:name w:val="Body Text Indent 3"/>
    <w:basedOn w:val="1"/>
    <w:link w:val="27"/>
    <w:qFormat/>
    <w:uiPriority w:val="0"/>
    <w:pPr>
      <w:spacing w:line="320" w:lineRule="exact"/>
      <w:ind w:firstLine="425" w:firstLineChars="0"/>
    </w:pPr>
    <w:rPr>
      <w:rFonts w:cs="Times New Roman"/>
      <w:szCs w:val="20"/>
    </w:rPr>
  </w:style>
  <w:style w:type="paragraph" w:styleId="10">
    <w:name w:val="Normal (Web)"/>
    <w:basedOn w:val="1"/>
    <w:unhideWhenUsed/>
    <w:qFormat/>
    <w:uiPriority w:val="99"/>
    <w:pPr>
      <w:widowControl/>
      <w:spacing w:before="100" w:beforeAutospacing="1" w:after="100" w:afterAutospacing="1" w:line="240" w:lineRule="auto"/>
      <w:ind w:firstLine="0" w:firstLineChars="0"/>
      <w:jc w:val="left"/>
    </w:pPr>
    <w:rPr>
      <w:rFonts w:ascii="宋体" w:hAnsi="宋体" w:cs="宋体"/>
      <w:kern w:val="0"/>
      <w:sz w:val="24"/>
      <w:szCs w:val="24"/>
    </w:rPr>
  </w:style>
  <w:style w:type="paragraph" w:styleId="11">
    <w:name w:val="Title"/>
    <w:basedOn w:val="1"/>
    <w:next w:val="1"/>
    <w:link w:val="24"/>
    <w:qFormat/>
    <w:uiPriority w:val="10"/>
    <w:pPr>
      <w:spacing w:before="240" w:after="60"/>
      <w:jc w:val="center"/>
      <w:outlineLvl w:val="0"/>
    </w:pPr>
    <w:rPr>
      <w:rFonts w:asciiTheme="majorHAnsi" w:hAnsiTheme="majorHAnsi" w:eastAsiaTheme="majorEastAsia" w:cstheme="majorBidi"/>
      <w:b/>
      <w:bCs/>
      <w:sz w:val="32"/>
      <w:szCs w:val="32"/>
    </w:rPr>
  </w:style>
  <w:style w:type="table" w:styleId="13">
    <w:name w:val="Table Grid"/>
    <w:basedOn w:val="12"/>
    <w:uiPriority w:val="39"/>
    <w:pPr>
      <w:jc w:val="both"/>
    </w:pPr>
    <w:rPr>
      <w:rFonts w:ascii="Times New Roman" w:hAnsi="Times New Roman" w:eastAsia="宋体"/>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unhideWhenUsed/>
    <w:qFormat/>
    <w:uiPriority w:val="99"/>
    <w:rPr>
      <w:color w:val="0000FF" w:themeColor="hyperlink"/>
      <w:u w:val="single"/>
    </w:rPr>
  </w:style>
  <w:style w:type="character" w:styleId="16">
    <w:name w:val="footnote reference"/>
    <w:basedOn w:val="14"/>
    <w:semiHidden/>
    <w:unhideWhenUsed/>
    <w:qFormat/>
    <w:uiPriority w:val="99"/>
    <w:rPr>
      <w:vertAlign w:val="superscript"/>
    </w:rPr>
  </w:style>
  <w:style w:type="character" w:customStyle="1" w:styleId="17">
    <w:name w:val="页眉 Char"/>
    <w:basedOn w:val="14"/>
    <w:link w:val="7"/>
    <w:uiPriority w:val="99"/>
    <w:rPr>
      <w:sz w:val="18"/>
      <w:szCs w:val="18"/>
    </w:rPr>
  </w:style>
  <w:style w:type="character" w:customStyle="1" w:styleId="18">
    <w:name w:val="页脚 Char"/>
    <w:basedOn w:val="14"/>
    <w:link w:val="6"/>
    <w:uiPriority w:val="99"/>
    <w:rPr>
      <w:sz w:val="18"/>
      <w:szCs w:val="18"/>
    </w:rPr>
  </w:style>
  <w:style w:type="character" w:customStyle="1" w:styleId="19">
    <w:name w:val="批注框文本 Char"/>
    <w:basedOn w:val="14"/>
    <w:link w:val="5"/>
    <w:semiHidden/>
    <w:qFormat/>
    <w:uiPriority w:val="99"/>
    <w:rPr>
      <w:sz w:val="18"/>
      <w:szCs w:val="18"/>
    </w:rPr>
  </w:style>
  <w:style w:type="character" w:customStyle="1" w:styleId="20">
    <w:name w:val="脚注文本 Char"/>
    <w:basedOn w:val="14"/>
    <w:link w:val="8"/>
    <w:qFormat/>
    <w:uiPriority w:val="99"/>
    <w:rPr>
      <w:rFonts w:ascii="Times New Roman" w:hAnsi="Times New Roman" w:eastAsia="宋体"/>
      <w:sz w:val="18"/>
      <w:szCs w:val="18"/>
    </w:rPr>
  </w:style>
  <w:style w:type="character" w:customStyle="1" w:styleId="21">
    <w:name w:val="标题 1 Char"/>
    <w:basedOn w:val="14"/>
    <w:link w:val="2"/>
    <w:qFormat/>
    <w:uiPriority w:val="9"/>
    <w:rPr>
      <w:rFonts w:ascii="Times New Roman" w:hAnsi="Times New Roman" w:eastAsia="宋体"/>
      <w:b/>
      <w:bCs/>
      <w:kern w:val="44"/>
      <w:sz w:val="24"/>
      <w:szCs w:val="44"/>
    </w:rPr>
  </w:style>
  <w:style w:type="character" w:customStyle="1" w:styleId="22">
    <w:name w:val="标题 2 Char"/>
    <w:basedOn w:val="14"/>
    <w:link w:val="3"/>
    <w:qFormat/>
    <w:uiPriority w:val="9"/>
    <w:rPr>
      <w:rFonts w:ascii="Times New Roman" w:hAnsi="Times New Roman" w:eastAsia="宋体" w:cstheme="majorBidi"/>
      <w:b/>
      <w:bCs/>
      <w:szCs w:val="32"/>
    </w:rPr>
  </w:style>
  <w:style w:type="character" w:customStyle="1" w:styleId="23">
    <w:name w:val="标题 3 Char"/>
    <w:basedOn w:val="14"/>
    <w:link w:val="4"/>
    <w:semiHidden/>
    <w:qFormat/>
    <w:uiPriority w:val="9"/>
    <w:rPr>
      <w:rFonts w:ascii="Times New Roman" w:hAnsi="Times New Roman" w:eastAsia="宋体"/>
      <w:b/>
      <w:bCs/>
      <w:sz w:val="32"/>
      <w:szCs w:val="32"/>
    </w:rPr>
  </w:style>
  <w:style w:type="character" w:customStyle="1" w:styleId="24">
    <w:name w:val="标题 Char"/>
    <w:basedOn w:val="14"/>
    <w:link w:val="11"/>
    <w:qFormat/>
    <w:uiPriority w:val="10"/>
    <w:rPr>
      <w:rFonts w:asciiTheme="majorHAnsi" w:hAnsiTheme="majorHAnsi" w:eastAsiaTheme="majorEastAsia" w:cstheme="majorBidi"/>
      <w:b/>
      <w:bCs/>
      <w:sz w:val="32"/>
      <w:szCs w:val="32"/>
    </w:rPr>
  </w:style>
  <w:style w:type="paragraph" w:styleId="25">
    <w:name w:val="No Spacing"/>
    <w:qFormat/>
    <w:uiPriority w:val="1"/>
    <w:pPr>
      <w:widowControl w:val="0"/>
      <w:jc w:val="center"/>
    </w:pPr>
    <w:rPr>
      <w:rFonts w:ascii="Times New Roman" w:hAnsi="Times New Roman" w:eastAsia="宋体" w:cstheme="minorBidi"/>
      <w:kern w:val="2"/>
      <w:sz w:val="18"/>
      <w:szCs w:val="22"/>
      <w:lang w:val="en-US" w:eastAsia="zh-CN" w:bidi="ar-SA"/>
    </w:rPr>
  </w:style>
  <w:style w:type="paragraph" w:styleId="26">
    <w:name w:val="List Paragraph"/>
    <w:basedOn w:val="1"/>
    <w:qFormat/>
    <w:uiPriority w:val="34"/>
    <w:pPr>
      <w:ind w:firstLine="420"/>
    </w:pPr>
  </w:style>
  <w:style w:type="character" w:customStyle="1" w:styleId="27">
    <w:name w:val="正文文本缩进 3 Char"/>
    <w:basedOn w:val="14"/>
    <w:link w:val="9"/>
    <w:qFormat/>
    <w:uiPriority w:val="0"/>
    <w:rPr>
      <w:rFonts w:ascii="Times New Roman" w:hAnsi="Times New Roman" w:eastAsia="宋体" w:cs="Times New Roman"/>
      <w:szCs w:val="20"/>
    </w:rPr>
  </w:style>
  <w:style w:type="character" w:customStyle="1" w:styleId="28">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w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1E541-26E4-4E24-B585-BBCEFFD361BD}">
  <ds:schemaRefs/>
</ds:datastoreItem>
</file>

<file path=docProps/app.xml><?xml version="1.0" encoding="utf-8"?>
<Properties xmlns="http://schemas.openxmlformats.org/officeDocument/2006/extended-properties" xmlns:vt="http://schemas.openxmlformats.org/officeDocument/2006/docPropsVTypes">
  <Template>Normal</Template>
  <Pages>7</Pages>
  <Words>3023</Words>
  <Characters>3520</Characters>
  <Lines>54</Lines>
  <Paragraphs>15</Paragraphs>
  <TotalTime>6</TotalTime>
  <ScaleCrop>false</ScaleCrop>
  <LinksUpToDate>false</LinksUpToDate>
  <CharactersWithSpaces>3568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2021-10-21T06:30:00Z</dcterms:created>
  <dc:creator>lenovo</dc:creator>
  <cp:lastModifiedBy>学报</cp:lastModifiedBy>
  <dcterms:modified xsi:type="dcterms:W3CDTF">2025-03-07T08:15:41Z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eyJoZGlkIjoiYmQwODNhY2ZkODIxMGZjZGMzNTg2M2MyMmE5ZDVjYjEiLCJ1c2VySWQiOiIxNTA1MTM4OTE3In0=</vt:lpwstr>
  </property>
  <property fmtid="{D5CDD505-2E9C-101B-9397-08002B2CF9AE}" pid="3" name="KSOProductBuildVer">
    <vt:lpwstr>2052-12.1.0.20305</vt:lpwstr>
  </property>
  <property fmtid="{D5CDD505-2E9C-101B-9397-08002B2CF9AE}" pid="4" name="ICV">
    <vt:lpwstr>B269FBB5D13742D7B84B29499436D028_12</vt:lpwstr>
  </property>
</Properties>
</file>